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00A82" w14:textId="035A9338" w:rsidR="000C3629" w:rsidRPr="000C3629" w:rsidRDefault="000C3629" w:rsidP="000C3629">
      <w:pPr>
        <w:spacing w:after="120"/>
        <w:jc w:val="center"/>
        <w:rPr>
          <w:rFonts w:ascii="Times New Roman" w:hAnsi="Times New Roman" w:cs="Times New Roman"/>
          <w:color w:val="000000" w:themeColor="text1"/>
        </w:rPr>
      </w:pPr>
      <w:r w:rsidRPr="000C3629">
        <w:rPr>
          <w:rFonts w:ascii="Times New Roman" w:hAnsi="Times New Roman" w:cs="Times New Roman"/>
          <w:color w:val="000000" w:themeColor="text1"/>
        </w:rPr>
        <w:t>Chapter 30</w:t>
      </w:r>
    </w:p>
    <w:p w14:paraId="7AABF97F" w14:textId="6208628E" w:rsidR="00765CB8" w:rsidRPr="00A40E28" w:rsidRDefault="00765CB8" w:rsidP="00765CB8">
      <w:pPr>
        <w:jc w:val="center"/>
        <w:rPr>
          <w:rFonts w:ascii="Times New Roman" w:hAnsi="Times New Roman" w:cs="Times New Roman"/>
          <w:color w:val="000000" w:themeColor="text1"/>
          <w:sz w:val="28"/>
          <w:szCs w:val="28"/>
        </w:rPr>
      </w:pPr>
      <w:r w:rsidRPr="00A40E28">
        <w:rPr>
          <w:rFonts w:ascii="Times New Roman" w:hAnsi="Times New Roman" w:cs="Times New Roman"/>
          <w:color w:val="000000" w:themeColor="text1"/>
          <w:sz w:val="28"/>
          <w:szCs w:val="28"/>
        </w:rPr>
        <w:t xml:space="preserve">Private </w:t>
      </w:r>
      <w:r w:rsidR="00D5692B">
        <w:rPr>
          <w:rFonts w:ascii="Times New Roman" w:hAnsi="Times New Roman" w:cs="Times New Roman"/>
          <w:color w:val="000000" w:themeColor="text1"/>
          <w:sz w:val="28"/>
          <w:szCs w:val="28"/>
        </w:rPr>
        <w:t>I</w:t>
      </w:r>
      <w:r w:rsidR="00B957E3" w:rsidRPr="00A40E28">
        <w:rPr>
          <w:rFonts w:ascii="Times New Roman" w:hAnsi="Times New Roman" w:cs="Times New Roman"/>
          <w:color w:val="000000" w:themeColor="text1"/>
          <w:sz w:val="28"/>
          <w:szCs w:val="28"/>
        </w:rPr>
        <w:t xml:space="preserve">nternational </w:t>
      </w:r>
      <w:r w:rsidR="00D5692B">
        <w:rPr>
          <w:rFonts w:ascii="Times New Roman" w:hAnsi="Times New Roman" w:cs="Times New Roman"/>
          <w:color w:val="000000" w:themeColor="text1"/>
          <w:sz w:val="28"/>
          <w:szCs w:val="28"/>
        </w:rPr>
        <w:t>L</w:t>
      </w:r>
      <w:r w:rsidR="00B957E3" w:rsidRPr="00A40E28">
        <w:rPr>
          <w:rFonts w:ascii="Times New Roman" w:hAnsi="Times New Roman" w:cs="Times New Roman"/>
          <w:color w:val="000000" w:themeColor="text1"/>
          <w:sz w:val="28"/>
          <w:szCs w:val="28"/>
        </w:rPr>
        <w:t xml:space="preserve">aw of </w:t>
      </w:r>
      <w:r w:rsidR="00D5692B">
        <w:rPr>
          <w:rFonts w:ascii="Times New Roman" w:hAnsi="Times New Roman" w:cs="Times New Roman"/>
          <w:color w:val="000000" w:themeColor="text1"/>
          <w:sz w:val="28"/>
          <w:szCs w:val="28"/>
        </w:rPr>
        <w:t>S</w:t>
      </w:r>
      <w:r w:rsidR="00B957E3" w:rsidRPr="00A40E28">
        <w:rPr>
          <w:rFonts w:ascii="Times New Roman" w:hAnsi="Times New Roman" w:cs="Times New Roman"/>
          <w:color w:val="000000" w:themeColor="text1"/>
          <w:sz w:val="28"/>
          <w:szCs w:val="28"/>
        </w:rPr>
        <w:t>uccession</w:t>
      </w:r>
    </w:p>
    <w:p w14:paraId="46244037" w14:textId="6ADF416C" w:rsidR="00F0737B" w:rsidRPr="00A40E28" w:rsidRDefault="00765CB8" w:rsidP="000C3629">
      <w:pPr>
        <w:spacing w:after="240"/>
        <w:jc w:val="center"/>
        <w:rPr>
          <w:rFonts w:ascii="Times New Roman" w:hAnsi="Times New Roman" w:cs="Times New Roman"/>
          <w:color w:val="000000" w:themeColor="text1"/>
          <w:sz w:val="28"/>
          <w:szCs w:val="28"/>
        </w:rPr>
      </w:pPr>
      <w:r w:rsidRPr="00A40E28">
        <w:rPr>
          <w:rFonts w:ascii="Times New Roman" w:hAnsi="Times New Roman" w:cs="Times New Roman"/>
          <w:color w:val="000000" w:themeColor="text1"/>
          <w:sz w:val="28"/>
          <w:szCs w:val="28"/>
        </w:rPr>
        <w:t>Scotland</w:t>
      </w:r>
    </w:p>
    <w:p w14:paraId="77C04D8D" w14:textId="77777777" w:rsidR="001E3B94" w:rsidRPr="00765CB8" w:rsidRDefault="00924E4A" w:rsidP="00765CB8">
      <w:pPr>
        <w:jc w:val="center"/>
        <w:rPr>
          <w:rFonts w:ascii="Times New Roman" w:hAnsi="Times New Roman" w:cs="Times New Roman"/>
          <w:b/>
          <w:color w:val="000000" w:themeColor="text1"/>
        </w:rPr>
      </w:pPr>
      <w:r w:rsidRPr="00765CB8">
        <w:rPr>
          <w:rFonts w:ascii="Times New Roman" w:hAnsi="Times New Roman" w:cs="Times New Roman"/>
          <w:b/>
          <w:color w:val="000000" w:themeColor="text1"/>
        </w:rPr>
        <w:t>Paul Beaumont and Jayne Holliday</w:t>
      </w:r>
      <w:r w:rsidR="006F0ABF" w:rsidRPr="00F0737B">
        <w:rPr>
          <w:rStyle w:val="FootnoteReference"/>
          <w:rFonts w:ascii="Times New Roman" w:hAnsi="Times New Roman" w:cs="Times New Roman"/>
          <w:color w:val="000000" w:themeColor="text1"/>
        </w:rPr>
        <w:footnoteReference w:customMarkFollows="1" w:id="2"/>
        <w:sym w:font="Symbol" w:char="F02A"/>
      </w:r>
    </w:p>
    <w:p w14:paraId="266EDD59" w14:textId="77777777" w:rsidR="003E7292" w:rsidRDefault="003E7292" w:rsidP="003A0DA7">
      <w:pPr>
        <w:rPr>
          <w:rFonts w:ascii="Times New Roman" w:hAnsi="Times New Roman" w:cs="Times New Roman"/>
          <w:color w:val="000000" w:themeColor="text1"/>
        </w:rPr>
      </w:pPr>
    </w:p>
    <w:p w14:paraId="4BE631D5" w14:textId="09EA7CF6" w:rsidR="003E7292" w:rsidRPr="00C02491" w:rsidRDefault="003E7292" w:rsidP="003E7292">
      <w:pPr>
        <w:jc w:val="both"/>
        <w:rPr>
          <w:rFonts w:ascii="Times New Roman" w:hAnsi="Times New Roman" w:cs="Times New Roman"/>
          <w:color w:val="000000" w:themeColor="text1"/>
          <w:sz w:val="22"/>
          <w:szCs w:val="22"/>
        </w:rPr>
      </w:pPr>
      <w:r w:rsidRPr="00C02491">
        <w:rPr>
          <w:rFonts w:ascii="Times New Roman" w:hAnsi="Times New Roman" w:cs="Times New Roman"/>
          <w:color w:val="000000" w:themeColor="text1"/>
          <w:sz w:val="22"/>
          <w:szCs w:val="22"/>
        </w:rPr>
        <w:t xml:space="preserve">Contents: I. Introduction. – II. </w:t>
      </w:r>
      <w:r w:rsidR="003A0DA7" w:rsidRPr="00C02491">
        <w:rPr>
          <w:rFonts w:ascii="Times New Roman" w:hAnsi="Times New Roman" w:cs="Times New Roman"/>
          <w:color w:val="000000" w:themeColor="text1"/>
          <w:sz w:val="22"/>
          <w:szCs w:val="22"/>
        </w:rPr>
        <w:t>The Succession Regulation</w:t>
      </w:r>
      <w:r w:rsidRPr="00C02491">
        <w:rPr>
          <w:rFonts w:ascii="Times New Roman" w:hAnsi="Times New Roman" w:cs="Times New Roman"/>
          <w:color w:val="000000" w:themeColor="text1"/>
          <w:sz w:val="22"/>
          <w:szCs w:val="22"/>
        </w:rPr>
        <w:t xml:space="preserve">. – A. The Succession Regulation and the UK national. – 1. Party autonomy and the UK national. – 2. UK nationals who do not choose the law of their nationality and are habitually resident in a participating Member State. – i. Participating Member State nationals evading forced heirship by buying immoveable property in Scotland. </w:t>
      </w:r>
      <w:r w:rsidR="003A0DA7" w:rsidRPr="00C02491">
        <w:rPr>
          <w:rFonts w:ascii="Times New Roman" w:hAnsi="Times New Roman" w:cs="Times New Roman"/>
          <w:color w:val="000000" w:themeColor="text1"/>
          <w:sz w:val="22"/>
          <w:szCs w:val="22"/>
        </w:rPr>
        <w:t xml:space="preserve">– </w:t>
      </w:r>
      <w:r w:rsidRPr="00C02491">
        <w:rPr>
          <w:rFonts w:ascii="Times New Roman" w:hAnsi="Times New Roman" w:cs="Times New Roman"/>
          <w:color w:val="000000" w:themeColor="text1"/>
          <w:sz w:val="22"/>
          <w:szCs w:val="22"/>
        </w:rPr>
        <w:t xml:space="preserve">ii. Areas of concern to the United Kingdom. </w:t>
      </w:r>
      <w:r w:rsidR="003A0DA7" w:rsidRPr="00C02491">
        <w:rPr>
          <w:rFonts w:ascii="Times New Roman" w:hAnsi="Times New Roman" w:cs="Times New Roman"/>
          <w:color w:val="000000" w:themeColor="text1"/>
          <w:sz w:val="22"/>
          <w:szCs w:val="22"/>
        </w:rPr>
        <w:t xml:space="preserve">– </w:t>
      </w:r>
      <w:r w:rsidRPr="00C02491">
        <w:rPr>
          <w:rFonts w:ascii="Times New Roman" w:hAnsi="Times New Roman" w:cs="Times New Roman"/>
          <w:color w:val="000000" w:themeColor="text1"/>
          <w:sz w:val="22"/>
          <w:szCs w:val="22"/>
        </w:rPr>
        <w:t xml:space="preserve">III. </w:t>
      </w:r>
      <w:r w:rsidR="003A0DA7" w:rsidRPr="00C02491">
        <w:rPr>
          <w:rFonts w:ascii="Times New Roman" w:hAnsi="Times New Roman" w:cs="Times New Roman"/>
          <w:color w:val="000000" w:themeColor="text1"/>
          <w:sz w:val="22"/>
          <w:szCs w:val="22"/>
        </w:rPr>
        <w:t>Private International Law of Succession in Scotland</w:t>
      </w:r>
      <w:r w:rsidRPr="00C02491">
        <w:rPr>
          <w:rFonts w:ascii="Times New Roman" w:hAnsi="Times New Roman" w:cs="Times New Roman"/>
          <w:color w:val="000000" w:themeColor="text1"/>
          <w:sz w:val="22"/>
          <w:szCs w:val="22"/>
        </w:rPr>
        <w:t xml:space="preserve">. </w:t>
      </w:r>
      <w:r w:rsidR="003A0DA7" w:rsidRPr="00C02491">
        <w:rPr>
          <w:rFonts w:ascii="Times New Roman" w:hAnsi="Times New Roman" w:cs="Times New Roman"/>
          <w:color w:val="000000" w:themeColor="text1"/>
          <w:sz w:val="22"/>
          <w:szCs w:val="22"/>
        </w:rPr>
        <w:t xml:space="preserve">– </w:t>
      </w:r>
      <w:r w:rsidRPr="00C02491">
        <w:rPr>
          <w:rFonts w:ascii="Times New Roman" w:hAnsi="Times New Roman" w:cs="Times New Roman"/>
          <w:color w:val="000000" w:themeColor="text1"/>
          <w:sz w:val="22"/>
          <w:szCs w:val="22"/>
        </w:rPr>
        <w:t xml:space="preserve">A. Historical background. </w:t>
      </w:r>
      <w:r w:rsidR="003A0DA7" w:rsidRPr="00C02491">
        <w:rPr>
          <w:rFonts w:ascii="Times New Roman" w:hAnsi="Times New Roman" w:cs="Times New Roman"/>
          <w:color w:val="000000" w:themeColor="text1"/>
          <w:sz w:val="22"/>
          <w:szCs w:val="22"/>
        </w:rPr>
        <w:t xml:space="preserve">– </w:t>
      </w:r>
      <w:r w:rsidRPr="00C02491">
        <w:rPr>
          <w:rFonts w:ascii="Times New Roman" w:hAnsi="Times New Roman" w:cs="Times New Roman"/>
          <w:color w:val="000000" w:themeColor="text1"/>
          <w:sz w:val="22"/>
          <w:szCs w:val="22"/>
        </w:rPr>
        <w:t xml:space="preserve">1. Contemporary private international law of succession in Scotland. </w:t>
      </w:r>
      <w:r w:rsidR="003A0DA7" w:rsidRPr="00C02491">
        <w:rPr>
          <w:rFonts w:ascii="Times New Roman" w:hAnsi="Times New Roman" w:cs="Times New Roman"/>
          <w:color w:val="000000" w:themeColor="text1"/>
          <w:sz w:val="22"/>
          <w:szCs w:val="22"/>
        </w:rPr>
        <w:t xml:space="preserve">– </w:t>
      </w:r>
      <w:r w:rsidRPr="00C02491">
        <w:rPr>
          <w:rFonts w:ascii="Times New Roman" w:hAnsi="Times New Roman" w:cs="Times New Roman"/>
          <w:color w:val="000000" w:themeColor="text1"/>
          <w:sz w:val="22"/>
          <w:szCs w:val="22"/>
        </w:rPr>
        <w:t xml:space="preserve">i. Administration of estates. </w:t>
      </w:r>
      <w:r w:rsidR="003A0DA7" w:rsidRPr="00C02491">
        <w:rPr>
          <w:rFonts w:ascii="Times New Roman" w:hAnsi="Times New Roman" w:cs="Times New Roman"/>
          <w:color w:val="000000" w:themeColor="text1"/>
          <w:sz w:val="22"/>
          <w:szCs w:val="22"/>
        </w:rPr>
        <w:t xml:space="preserve">– </w:t>
      </w:r>
      <w:r w:rsidRPr="00C02491">
        <w:rPr>
          <w:rFonts w:ascii="Times New Roman" w:hAnsi="Times New Roman" w:cs="Times New Roman"/>
          <w:color w:val="000000" w:themeColor="text1"/>
          <w:sz w:val="22"/>
          <w:szCs w:val="22"/>
        </w:rPr>
        <w:t xml:space="preserve">ii. Jurisdiction in succession. </w:t>
      </w:r>
      <w:r w:rsidR="003A0DA7" w:rsidRPr="00C02491">
        <w:rPr>
          <w:rFonts w:ascii="Times New Roman" w:hAnsi="Times New Roman" w:cs="Times New Roman"/>
          <w:color w:val="000000" w:themeColor="text1"/>
          <w:sz w:val="22"/>
          <w:szCs w:val="22"/>
        </w:rPr>
        <w:t xml:space="preserve">– </w:t>
      </w:r>
      <w:r w:rsidRPr="00C02491">
        <w:rPr>
          <w:rFonts w:ascii="Times New Roman" w:hAnsi="Times New Roman" w:cs="Times New Roman"/>
          <w:color w:val="000000" w:themeColor="text1"/>
          <w:sz w:val="22"/>
          <w:szCs w:val="22"/>
        </w:rPr>
        <w:t xml:space="preserve">iii. Applicable law in succession. </w:t>
      </w:r>
      <w:r w:rsidR="003A0DA7" w:rsidRPr="00C02491">
        <w:rPr>
          <w:rFonts w:ascii="Times New Roman" w:hAnsi="Times New Roman" w:cs="Times New Roman"/>
          <w:color w:val="000000" w:themeColor="text1"/>
          <w:sz w:val="22"/>
          <w:szCs w:val="22"/>
        </w:rPr>
        <w:t xml:space="preserve">– </w:t>
      </w:r>
      <w:r w:rsidRPr="00C02491">
        <w:rPr>
          <w:rFonts w:ascii="Times New Roman" w:hAnsi="Times New Roman" w:cs="Times New Roman"/>
          <w:color w:val="000000" w:themeColor="text1"/>
          <w:sz w:val="22"/>
          <w:szCs w:val="22"/>
        </w:rPr>
        <w:t xml:space="preserve">IV. </w:t>
      </w:r>
      <w:r w:rsidR="003A0DA7" w:rsidRPr="00C02491">
        <w:rPr>
          <w:rFonts w:ascii="Times New Roman" w:hAnsi="Times New Roman" w:cs="Times New Roman"/>
          <w:color w:val="000000" w:themeColor="text1"/>
          <w:sz w:val="22"/>
          <w:szCs w:val="22"/>
        </w:rPr>
        <w:t>Future Development of the Private International Law of Succession in Scotland</w:t>
      </w:r>
      <w:r w:rsidRPr="00C02491">
        <w:rPr>
          <w:rFonts w:ascii="Times New Roman" w:hAnsi="Times New Roman" w:cs="Times New Roman"/>
          <w:color w:val="000000" w:themeColor="text1"/>
          <w:sz w:val="22"/>
          <w:szCs w:val="22"/>
        </w:rPr>
        <w:t xml:space="preserve">. </w:t>
      </w:r>
      <w:r w:rsidR="003A0DA7" w:rsidRPr="00C02491">
        <w:rPr>
          <w:rFonts w:ascii="Times New Roman" w:hAnsi="Times New Roman" w:cs="Times New Roman"/>
          <w:color w:val="000000" w:themeColor="text1"/>
          <w:sz w:val="22"/>
          <w:szCs w:val="22"/>
        </w:rPr>
        <w:t xml:space="preserve">– </w:t>
      </w:r>
      <w:r w:rsidRPr="00C02491">
        <w:rPr>
          <w:rFonts w:ascii="Times New Roman" w:hAnsi="Times New Roman" w:cs="Times New Roman"/>
          <w:sz w:val="22"/>
          <w:szCs w:val="22"/>
          <w:lang w:val="en-US"/>
        </w:rPr>
        <w:t xml:space="preserve">A. Scottish government consultation on technical issues relating to succession. </w:t>
      </w:r>
      <w:r w:rsidR="003A0DA7" w:rsidRPr="00C02491">
        <w:rPr>
          <w:rFonts w:ascii="Times New Roman" w:hAnsi="Times New Roman" w:cs="Times New Roman"/>
          <w:color w:val="000000" w:themeColor="text1"/>
          <w:sz w:val="22"/>
          <w:szCs w:val="22"/>
        </w:rPr>
        <w:t xml:space="preserve">– </w:t>
      </w:r>
      <w:r w:rsidRPr="00C02491">
        <w:rPr>
          <w:rFonts w:ascii="Times New Roman" w:hAnsi="Times New Roman" w:cs="Times New Roman"/>
          <w:sz w:val="22"/>
          <w:szCs w:val="22"/>
        </w:rPr>
        <w:t xml:space="preserve">B. Succession (Scotland) </w:t>
      </w:r>
      <w:r w:rsidR="00D33B69">
        <w:rPr>
          <w:rFonts w:ascii="Times New Roman" w:hAnsi="Times New Roman" w:cs="Times New Roman"/>
          <w:sz w:val="22"/>
          <w:szCs w:val="22"/>
        </w:rPr>
        <w:t>Act 2016</w:t>
      </w:r>
      <w:r w:rsidRPr="00C02491">
        <w:rPr>
          <w:rFonts w:ascii="Times New Roman" w:hAnsi="Times New Roman" w:cs="Times New Roman"/>
          <w:sz w:val="22"/>
          <w:szCs w:val="22"/>
        </w:rPr>
        <w:t xml:space="preserve">. </w:t>
      </w:r>
      <w:r w:rsidR="003A0DA7" w:rsidRPr="00C02491">
        <w:rPr>
          <w:rFonts w:ascii="Times New Roman" w:hAnsi="Times New Roman" w:cs="Times New Roman"/>
          <w:color w:val="000000" w:themeColor="text1"/>
          <w:sz w:val="22"/>
          <w:szCs w:val="22"/>
        </w:rPr>
        <w:t xml:space="preserve">– </w:t>
      </w:r>
      <w:r w:rsidRPr="00C02491">
        <w:rPr>
          <w:rFonts w:ascii="Times New Roman" w:hAnsi="Times New Roman" w:cs="Times New Roman"/>
          <w:color w:val="000000" w:themeColor="text1"/>
          <w:sz w:val="22"/>
          <w:szCs w:val="22"/>
        </w:rPr>
        <w:t xml:space="preserve">V. </w:t>
      </w:r>
      <w:r w:rsidR="003A0DA7" w:rsidRPr="00C02491">
        <w:rPr>
          <w:rFonts w:ascii="Times New Roman" w:hAnsi="Times New Roman" w:cs="Times New Roman"/>
          <w:color w:val="000000" w:themeColor="text1"/>
          <w:sz w:val="22"/>
          <w:szCs w:val="22"/>
        </w:rPr>
        <w:t>Estate Planning.</w:t>
      </w:r>
      <w:r w:rsidRPr="00C02491">
        <w:rPr>
          <w:rFonts w:ascii="Times New Roman" w:hAnsi="Times New Roman" w:cs="Times New Roman"/>
          <w:color w:val="000000" w:themeColor="text1"/>
          <w:sz w:val="22"/>
          <w:szCs w:val="22"/>
        </w:rPr>
        <w:t xml:space="preserve"> </w:t>
      </w:r>
      <w:r w:rsidR="003A0DA7" w:rsidRPr="00C02491">
        <w:rPr>
          <w:rFonts w:ascii="Times New Roman" w:hAnsi="Times New Roman" w:cs="Times New Roman"/>
          <w:color w:val="000000" w:themeColor="text1"/>
          <w:sz w:val="22"/>
          <w:szCs w:val="22"/>
        </w:rPr>
        <w:t xml:space="preserve">– </w:t>
      </w:r>
      <w:r w:rsidRPr="00C02491">
        <w:rPr>
          <w:rFonts w:ascii="Times New Roman" w:hAnsi="Times New Roman" w:cs="Times New Roman"/>
          <w:sz w:val="22"/>
          <w:szCs w:val="22"/>
        </w:rPr>
        <w:t>VI. Conclusion.</w:t>
      </w:r>
    </w:p>
    <w:p w14:paraId="062E792D" w14:textId="3A85EF9F" w:rsidR="003E7292" w:rsidRDefault="003E7292" w:rsidP="003E7292">
      <w:pPr>
        <w:jc w:val="both"/>
        <w:rPr>
          <w:rFonts w:ascii="Times New Roman" w:hAnsi="Times New Roman" w:cs="Times New Roman"/>
          <w:color w:val="000000" w:themeColor="text1"/>
        </w:rPr>
      </w:pPr>
    </w:p>
    <w:p w14:paraId="3FEB5EA8" w14:textId="77777777" w:rsidR="003E7292" w:rsidRPr="003E7292" w:rsidRDefault="003E7292" w:rsidP="003E7292">
      <w:pPr>
        <w:jc w:val="both"/>
        <w:rPr>
          <w:rFonts w:ascii="Times New Roman" w:hAnsi="Times New Roman" w:cs="Times New Roman"/>
          <w:color w:val="000000" w:themeColor="text1"/>
        </w:rPr>
      </w:pPr>
    </w:p>
    <w:p w14:paraId="67CCF6CB" w14:textId="77777777" w:rsidR="00455C55" w:rsidRPr="00765CB8" w:rsidRDefault="00765CB8" w:rsidP="00765CB8">
      <w:pPr>
        <w:jc w:val="both"/>
        <w:rPr>
          <w:rFonts w:ascii="Times New Roman" w:hAnsi="Times New Roman" w:cs="Times New Roman"/>
          <w:color w:val="000000" w:themeColor="text1"/>
        </w:rPr>
      </w:pPr>
      <w:bookmarkStart w:id="0" w:name="_Toc299883016"/>
      <w:r w:rsidRPr="00765CB8">
        <w:rPr>
          <w:rFonts w:ascii="Times New Roman" w:hAnsi="Times New Roman" w:cs="Times New Roman"/>
          <w:color w:val="000000" w:themeColor="text1"/>
        </w:rPr>
        <w:t>I. INTRODUCTION</w:t>
      </w:r>
      <w:bookmarkEnd w:id="0"/>
    </w:p>
    <w:p w14:paraId="3D24A77B" w14:textId="77777777" w:rsidR="00CF1155" w:rsidRPr="00765CB8" w:rsidRDefault="00CF1155" w:rsidP="00765CB8">
      <w:pPr>
        <w:jc w:val="both"/>
        <w:rPr>
          <w:rFonts w:ascii="Times New Roman" w:hAnsi="Times New Roman" w:cs="Times New Roman"/>
          <w:color w:val="000000" w:themeColor="text1"/>
        </w:rPr>
      </w:pPr>
    </w:p>
    <w:p w14:paraId="4239FC70" w14:textId="77777777" w:rsidR="00DE24F3" w:rsidRDefault="00750E3F"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Scotland has</w:t>
      </w:r>
      <w:r w:rsidR="00DE24F3" w:rsidRPr="00765CB8">
        <w:rPr>
          <w:rFonts w:ascii="Times New Roman" w:hAnsi="Times New Roman" w:cs="Times New Roman"/>
          <w:color w:val="000000" w:themeColor="text1"/>
        </w:rPr>
        <w:t xml:space="preserve"> a mixed legal system that has been influenced by Roman law and </w:t>
      </w:r>
      <w:r w:rsidR="00804077" w:rsidRPr="00765CB8">
        <w:rPr>
          <w:rFonts w:ascii="Times New Roman" w:hAnsi="Times New Roman" w:cs="Times New Roman"/>
          <w:color w:val="000000" w:themeColor="text1"/>
        </w:rPr>
        <w:t>the common law system of England and Wales.</w:t>
      </w:r>
      <w:r w:rsidR="00804077" w:rsidRPr="00765CB8">
        <w:rPr>
          <w:rStyle w:val="FootnoteReference"/>
          <w:rFonts w:ascii="Times New Roman" w:hAnsi="Times New Roman" w:cs="Times New Roman"/>
          <w:color w:val="000000" w:themeColor="text1"/>
        </w:rPr>
        <w:footnoteReference w:id="3"/>
      </w:r>
      <w:r w:rsidR="00804077" w:rsidRPr="00765CB8">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 xml:space="preserve">Its </w:t>
      </w:r>
      <w:r w:rsidR="00F4187A" w:rsidRPr="00765CB8">
        <w:rPr>
          <w:rFonts w:ascii="Times New Roman" w:hAnsi="Times New Roman" w:cs="Times New Roman"/>
          <w:color w:val="000000" w:themeColor="text1"/>
        </w:rPr>
        <w:t xml:space="preserve">substantive </w:t>
      </w:r>
      <w:r w:rsidRPr="00765CB8">
        <w:rPr>
          <w:rFonts w:ascii="Times New Roman" w:hAnsi="Times New Roman" w:cs="Times New Roman"/>
          <w:color w:val="000000" w:themeColor="text1"/>
        </w:rPr>
        <w:t>law of succession has also been influenced by feudal and canon law.</w:t>
      </w:r>
      <w:r w:rsidRPr="00765CB8">
        <w:rPr>
          <w:rStyle w:val="FootnoteReference"/>
          <w:rFonts w:ascii="Times New Roman" w:hAnsi="Times New Roman" w:cs="Times New Roman"/>
          <w:color w:val="000000" w:themeColor="text1"/>
        </w:rPr>
        <w:footnoteReference w:id="4"/>
      </w:r>
      <w:r w:rsidR="00F23E47">
        <w:rPr>
          <w:rFonts w:ascii="Times New Roman" w:hAnsi="Times New Roman" w:cs="Times New Roman"/>
          <w:color w:val="000000" w:themeColor="text1"/>
        </w:rPr>
        <w:t xml:space="preserve"> </w:t>
      </w:r>
      <w:r w:rsidR="00804077" w:rsidRPr="00765CB8">
        <w:rPr>
          <w:rFonts w:ascii="Times New Roman" w:hAnsi="Times New Roman" w:cs="Times New Roman"/>
          <w:color w:val="000000" w:themeColor="text1"/>
        </w:rPr>
        <w:t>Its legal system is separate from the English system</w:t>
      </w:r>
      <w:r w:rsidRPr="00765CB8">
        <w:rPr>
          <w:rFonts w:ascii="Times New Roman" w:hAnsi="Times New Roman" w:cs="Times New Roman"/>
          <w:color w:val="000000" w:themeColor="text1"/>
        </w:rPr>
        <w:t xml:space="preserve"> and its law</w:t>
      </w:r>
      <w:r w:rsidR="00ED6A3C" w:rsidRPr="00765CB8">
        <w:rPr>
          <w:rFonts w:ascii="Times New Roman" w:hAnsi="Times New Roman" w:cs="Times New Roman"/>
          <w:color w:val="000000" w:themeColor="text1"/>
        </w:rPr>
        <w:t xml:space="preserve"> of succession </w:t>
      </w:r>
      <w:r w:rsidR="00804077" w:rsidRPr="00765CB8">
        <w:rPr>
          <w:rFonts w:ascii="Times New Roman" w:hAnsi="Times New Roman" w:cs="Times New Roman"/>
          <w:color w:val="000000" w:themeColor="text1"/>
        </w:rPr>
        <w:t>differ</w:t>
      </w:r>
      <w:r w:rsidR="008F4DDB" w:rsidRPr="00765CB8">
        <w:rPr>
          <w:rFonts w:ascii="Times New Roman" w:hAnsi="Times New Roman" w:cs="Times New Roman"/>
          <w:color w:val="000000" w:themeColor="text1"/>
        </w:rPr>
        <w:t>s</w:t>
      </w:r>
      <w:r w:rsidR="00714B5C" w:rsidRPr="00765CB8">
        <w:rPr>
          <w:rFonts w:ascii="Times New Roman" w:hAnsi="Times New Roman" w:cs="Times New Roman"/>
          <w:color w:val="000000" w:themeColor="text1"/>
        </w:rPr>
        <w:t xml:space="preserve"> from that</w:t>
      </w:r>
      <w:r w:rsidR="00804077" w:rsidRPr="00765CB8">
        <w:rPr>
          <w:rFonts w:ascii="Times New Roman" w:hAnsi="Times New Roman" w:cs="Times New Roman"/>
          <w:color w:val="000000" w:themeColor="text1"/>
        </w:rPr>
        <w:t xml:space="preserve"> in England and Wales.</w:t>
      </w:r>
      <w:r w:rsidR="00804077" w:rsidRPr="00765CB8">
        <w:rPr>
          <w:rStyle w:val="FootnoteReference"/>
          <w:rFonts w:ascii="Times New Roman" w:hAnsi="Times New Roman" w:cs="Times New Roman"/>
          <w:color w:val="000000" w:themeColor="text1"/>
        </w:rPr>
        <w:footnoteReference w:id="5"/>
      </w:r>
      <w:r w:rsidR="00804077" w:rsidRPr="00765CB8">
        <w:rPr>
          <w:rFonts w:ascii="Times New Roman" w:hAnsi="Times New Roman" w:cs="Times New Roman"/>
          <w:color w:val="000000" w:themeColor="text1"/>
        </w:rPr>
        <w:t xml:space="preserve"> </w:t>
      </w:r>
    </w:p>
    <w:p w14:paraId="45963DF6" w14:textId="77777777" w:rsidR="00BE4200" w:rsidRPr="00765CB8" w:rsidRDefault="00BE4200" w:rsidP="00765CB8">
      <w:pPr>
        <w:jc w:val="both"/>
        <w:rPr>
          <w:rFonts w:ascii="Times New Roman" w:hAnsi="Times New Roman" w:cs="Times New Roman"/>
          <w:color w:val="000000" w:themeColor="text1"/>
        </w:rPr>
      </w:pPr>
    </w:p>
    <w:p w14:paraId="2FD3E813" w14:textId="44F8FC54" w:rsidR="005C462A" w:rsidRDefault="00586E3B"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Scotland, as part of the United Kingdom</w:t>
      </w:r>
      <w:r w:rsidR="00E03BDE" w:rsidRPr="00765CB8">
        <w:rPr>
          <w:rFonts w:ascii="Times New Roman" w:hAnsi="Times New Roman" w:cs="Times New Roman"/>
          <w:color w:val="000000" w:themeColor="text1"/>
        </w:rPr>
        <w:t>,</w:t>
      </w:r>
      <w:r w:rsidRPr="00765CB8">
        <w:rPr>
          <w:rFonts w:ascii="Times New Roman" w:hAnsi="Times New Roman" w:cs="Times New Roman"/>
          <w:color w:val="000000" w:themeColor="text1"/>
        </w:rPr>
        <w:t xml:space="preserve"> </w:t>
      </w:r>
      <w:r w:rsidR="00D5692B">
        <w:rPr>
          <w:rFonts w:ascii="Times New Roman" w:hAnsi="Times New Roman" w:cs="Times New Roman"/>
          <w:color w:val="000000" w:themeColor="text1"/>
        </w:rPr>
        <w:t>was never</w:t>
      </w:r>
      <w:r w:rsidR="00522CA7">
        <w:rPr>
          <w:rFonts w:ascii="Times New Roman" w:hAnsi="Times New Roman" w:cs="Times New Roman"/>
          <w:color w:val="000000" w:themeColor="text1"/>
        </w:rPr>
        <w:t xml:space="preserve"> bound by Regulation (EU) No</w:t>
      </w:r>
      <w:r w:rsidRPr="00765CB8">
        <w:rPr>
          <w:rFonts w:ascii="Times New Roman" w:hAnsi="Times New Roman" w:cs="Times New Roman"/>
          <w:color w:val="000000" w:themeColor="text1"/>
        </w:rPr>
        <w:t xml:space="preserve"> 650/2012 of the European Parliament and of the Council </w:t>
      </w:r>
      <w:r w:rsidR="00526EAF" w:rsidRPr="00765CB8">
        <w:rPr>
          <w:rFonts w:ascii="Times New Roman" w:hAnsi="Times New Roman" w:cs="Times New Roman"/>
          <w:color w:val="000000" w:themeColor="text1"/>
        </w:rPr>
        <w:t>of 4 July 2012 on jurisdiction</w:t>
      </w:r>
      <w:r w:rsidRPr="00765CB8">
        <w:rPr>
          <w:rFonts w:ascii="Times New Roman" w:hAnsi="Times New Roman" w:cs="Times New Roman"/>
          <w:color w:val="000000" w:themeColor="text1"/>
        </w:rPr>
        <w:t>, applicable law, recogniti</w:t>
      </w:r>
      <w:r w:rsidR="00526EAF" w:rsidRPr="00765CB8">
        <w:rPr>
          <w:rFonts w:ascii="Times New Roman" w:hAnsi="Times New Roman" w:cs="Times New Roman"/>
          <w:color w:val="000000" w:themeColor="text1"/>
        </w:rPr>
        <w:t>on and enforcement of decisions</w:t>
      </w:r>
      <w:r w:rsidRPr="00765CB8">
        <w:rPr>
          <w:rFonts w:ascii="Times New Roman" w:hAnsi="Times New Roman" w:cs="Times New Roman"/>
          <w:color w:val="000000" w:themeColor="text1"/>
        </w:rPr>
        <w:t xml:space="preserve"> and acceptance and enforcement of authentic instruments in matters of succession and on the creation of a European Certificate of Succession.</w:t>
      </w:r>
      <w:r w:rsidRPr="00765CB8">
        <w:rPr>
          <w:rStyle w:val="FootnoteReference"/>
          <w:rFonts w:ascii="Times New Roman" w:hAnsi="Times New Roman" w:cs="Times New Roman"/>
          <w:color w:val="000000" w:themeColor="text1"/>
        </w:rPr>
        <w:footnoteReference w:id="6"/>
      </w:r>
      <w:r w:rsidR="00E03BDE" w:rsidRPr="00765CB8">
        <w:rPr>
          <w:rFonts w:ascii="Times New Roman" w:hAnsi="Times New Roman" w:cs="Times New Roman"/>
          <w:color w:val="000000" w:themeColor="text1"/>
        </w:rPr>
        <w:t xml:space="preserve"> </w:t>
      </w:r>
    </w:p>
    <w:p w14:paraId="6F7AF558" w14:textId="77777777" w:rsidR="00BE4200" w:rsidRPr="00765CB8" w:rsidRDefault="00BE4200" w:rsidP="00765CB8">
      <w:pPr>
        <w:jc w:val="both"/>
        <w:rPr>
          <w:rFonts w:ascii="Times New Roman" w:hAnsi="Times New Roman" w:cs="Times New Roman"/>
          <w:color w:val="000000" w:themeColor="text1"/>
        </w:rPr>
      </w:pPr>
    </w:p>
    <w:p w14:paraId="5B232601" w14:textId="77777777" w:rsidR="00BE4200" w:rsidRDefault="00A6033C"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lastRenderedPageBreak/>
        <w:t xml:space="preserve">In </w:t>
      </w:r>
      <w:r w:rsidR="002D4B4E" w:rsidRPr="00765CB8">
        <w:rPr>
          <w:rFonts w:ascii="Times New Roman" w:hAnsi="Times New Roman" w:cs="Times New Roman"/>
          <w:color w:val="000000" w:themeColor="text1"/>
        </w:rPr>
        <w:t xml:space="preserve">2009, </w:t>
      </w:r>
      <w:r w:rsidRPr="00765CB8">
        <w:rPr>
          <w:rFonts w:ascii="Times New Roman" w:hAnsi="Times New Roman" w:cs="Times New Roman"/>
          <w:color w:val="000000" w:themeColor="text1"/>
        </w:rPr>
        <w:t>although initially supportive of a system that would simplify and harmonise cross-border succession,</w:t>
      </w:r>
      <w:r w:rsidR="006F0ABF" w:rsidRPr="00765CB8">
        <w:rPr>
          <w:rStyle w:val="FootnoteReference"/>
          <w:rFonts w:ascii="Times New Roman" w:hAnsi="Times New Roman" w:cs="Times New Roman"/>
          <w:color w:val="000000" w:themeColor="text1"/>
        </w:rPr>
        <w:footnoteReference w:id="7"/>
      </w:r>
      <w:r w:rsidRPr="00765CB8">
        <w:rPr>
          <w:rFonts w:ascii="Times New Roman" w:hAnsi="Times New Roman" w:cs="Times New Roman"/>
          <w:color w:val="000000" w:themeColor="text1"/>
        </w:rPr>
        <w:t xml:space="preserve"> </w:t>
      </w:r>
      <w:r w:rsidR="002D4B4E" w:rsidRPr="00765CB8">
        <w:rPr>
          <w:rFonts w:ascii="Times New Roman" w:hAnsi="Times New Roman" w:cs="Times New Roman"/>
          <w:color w:val="000000" w:themeColor="text1"/>
        </w:rPr>
        <w:t>the United Kingdom made the decision not to</w:t>
      </w:r>
      <w:r w:rsidR="007E17BC" w:rsidRPr="00765CB8">
        <w:rPr>
          <w:rFonts w:ascii="Times New Roman" w:hAnsi="Times New Roman" w:cs="Times New Roman"/>
          <w:color w:val="000000" w:themeColor="text1"/>
        </w:rPr>
        <w:t xml:space="preserve"> opt into the </w:t>
      </w:r>
      <w:r w:rsidR="009437E9" w:rsidRPr="00765CB8">
        <w:rPr>
          <w:rFonts w:ascii="Times New Roman" w:hAnsi="Times New Roman" w:cs="Times New Roman"/>
          <w:color w:val="000000" w:themeColor="text1"/>
        </w:rPr>
        <w:t xml:space="preserve">Succession </w:t>
      </w:r>
      <w:r w:rsidR="007E17BC" w:rsidRPr="00765CB8">
        <w:rPr>
          <w:rFonts w:ascii="Times New Roman" w:hAnsi="Times New Roman" w:cs="Times New Roman"/>
          <w:color w:val="000000" w:themeColor="text1"/>
        </w:rPr>
        <w:t>R</w:t>
      </w:r>
      <w:r w:rsidR="002D4B4E" w:rsidRPr="00765CB8">
        <w:rPr>
          <w:rFonts w:ascii="Times New Roman" w:hAnsi="Times New Roman" w:cs="Times New Roman"/>
          <w:color w:val="000000" w:themeColor="text1"/>
        </w:rPr>
        <w:t xml:space="preserve">egulation, identifying three </w:t>
      </w:r>
      <w:r w:rsidR="007E17BC" w:rsidRPr="00765CB8">
        <w:rPr>
          <w:rFonts w:ascii="Times New Roman" w:hAnsi="Times New Roman" w:cs="Times New Roman"/>
          <w:color w:val="000000" w:themeColor="text1"/>
        </w:rPr>
        <w:t xml:space="preserve">main </w:t>
      </w:r>
      <w:r w:rsidR="002D4B4E" w:rsidRPr="00765CB8">
        <w:rPr>
          <w:rFonts w:ascii="Times New Roman" w:hAnsi="Times New Roman" w:cs="Times New Roman"/>
          <w:color w:val="000000" w:themeColor="text1"/>
        </w:rPr>
        <w:t>areas of concern.</w:t>
      </w:r>
      <w:r w:rsidR="00DB50B6" w:rsidRPr="00765CB8">
        <w:rPr>
          <w:rStyle w:val="FootnoteReference"/>
          <w:rFonts w:ascii="Times New Roman" w:hAnsi="Times New Roman" w:cs="Times New Roman"/>
          <w:color w:val="000000" w:themeColor="text1"/>
        </w:rPr>
        <w:footnoteReference w:id="8"/>
      </w:r>
      <w:r w:rsidR="002D4B4E" w:rsidRPr="00765CB8">
        <w:rPr>
          <w:rFonts w:ascii="Times New Roman" w:hAnsi="Times New Roman" w:cs="Times New Roman"/>
          <w:color w:val="000000" w:themeColor="text1"/>
        </w:rPr>
        <w:t xml:space="preserve"> The first, the use of habitual residence at the time of death to determine the applicable law was considered to be a weak connecting factor, in that it lacked the certainty required to determine the applicable law to a succession and to aspects of the succession.</w:t>
      </w:r>
      <w:r w:rsidR="002D4B4E" w:rsidRPr="00765CB8">
        <w:rPr>
          <w:rStyle w:val="FootnoteReference"/>
          <w:rFonts w:ascii="Times New Roman" w:hAnsi="Times New Roman" w:cs="Times New Roman"/>
          <w:color w:val="000000" w:themeColor="text1"/>
        </w:rPr>
        <w:footnoteReference w:id="9"/>
      </w:r>
      <w:r w:rsidR="002D4B4E" w:rsidRPr="00765CB8">
        <w:rPr>
          <w:rFonts w:ascii="Times New Roman" w:hAnsi="Times New Roman" w:cs="Times New Roman"/>
          <w:color w:val="000000" w:themeColor="text1"/>
        </w:rPr>
        <w:t xml:space="preserve"> </w:t>
      </w:r>
    </w:p>
    <w:p w14:paraId="6E75EA13" w14:textId="77777777" w:rsidR="00BE4200" w:rsidRDefault="00BE4200" w:rsidP="00765CB8">
      <w:pPr>
        <w:jc w:val="both"/>
        <w:rPr>
          <w:rFonts w:ascii="Times New Roman" w:hAnsi="Times New Roman" w:cs="Times New Roman"/>
          <w:color w:val="000000" w:themeColor="text1"/>
        </w:rPr>
      </w:pPr>
    </w:p>
    <w:p w14:paraId="730D59E9" w14:textId="1EF4EB93" w:rsidR="00C36C66" w:rsidRDefault="002D4B4E"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The second and third concerns were essentially characterisation issues. Clawback, a device used to make a claim against </w:t>
      </w:r>
      <w:r w:rsidRPr="00765CB8">
        <w:rPr>
          <w:rFonts w:ascii="Times New Roman" w:hAnsi="Times New Roman" w:cs="Times New Roman"/>
          <w:i/>
          <w:color w:val="000000" w:themeColor="text1"/>
        </w:rPr>
        <w:t>inter</w:t>
      </w:r>
      <w:r w:rsidR="007403CE">
        <w:rPr>
          <w:rFonts w:ascii="Times New Roman" w:hAnsi="Times New Roman" w:cs="Times New Roman"/>
          <w:i/>
          <w:color w:val="000000" w:themeColor="text1"/>
        </w:rPr>
        <w:t xml:space="preserve"> </w:t>
      </w:r>
      <w:proofErr w:type="spellStart"/>
      <w:r w:rsidRPr="00765CB8">
        <w:rPr>
          <w:rFonts w:ascii="Times New Roman" w:hAnsi="Times New Roman" w:cs="Times New Roman"/>
          <w:i/>
          <w:color w:val="000000" w:themeColor="text1"/>
        </w:rPr>
        <w:t>vivos</w:t>
      </w:r>
      <w:proofErr w:type="spellEnd"/>
      <w:r w:rsidRPr="00765CB8">
        <w:rPr>
          <w:rFonts w:ascii="Times New Roman" w:hAnsi="Times New Roman" w:cs="Times New Roman"/>
          <w:color w:val="000000" w:themeColor="text1"/>
        </w:rPr>
        <w:t xml:space="preserve"> gifts when the estate does not make sufficient provision for forced heirship beneficiaries does not fall within the UK’s succession law.</w:t>
      </w:r>
      <w:r w:rsidRPr="00765CB8">
        <w:rPr>
          <w:rStyle w:val="FootnoteReference"/>
          <w:rFonts w:ascii="Times New Roman" w:hAnsi="Times New Roman" w:cs="Times New Roman"/>
          <w:color w:val="000000" w:themeColor="text1"/>
        </w:rPr>
        <w:footnoteReference w:id="10"/>
      </w:r>
      <w:r w:rsidRPr="00765CB8">
        <w:rPr>
          <w:rFonts w:ascii="Times New Roman" w:hAnsi="Times New Roman" w:cs="Times New Roman"/>
          <w:color w:val="000000" w:themeColor="text1"/>
        </w:rPr>
        <w:t xml:space="preserve"> This is in contrast to many civil law systems where clawback is an established tool</w:t>
      </w:r>
      <w:r w:rsidR="0045529A" w:rsidRPr="00765CB8">
        <w:rPr>
          <w:rFonts w:ascii="Times New Roman" w:hAnsi="Times New Roman" w:cs="Times New Roman"/>
          <w:color w:val="000000" w:themeColor="text1"/>
        </w:rPr>
        <w:t xml:space="preserve"> within succ</w:t>
      </w:r>
      <w:r w:rsidR="00714B5C" w:rsidRPr="00765CB8">
        <w:rPr>
          <w:rFonts w:ascii="Times New Roman" w:hAnsi="Times New Roman" w:cs="Times New Roman"/>
          <w:color w:val="000000" w:themeColor="text1"/>
        </w:rPr>
        <w:t>ession law, albeit one where the nature is changing</w:t>
      </w:r>
      <w:r w:rsidRPr="00765CB8">
        <w:rPr>
          <w:rFonts w:ascii="Times New Roman" w:hAnsi="Times New Roman" w:cs="Times New Roman"/>
          <w:color w:val="000000" w:themeColor="text1"/>
        </w:rPr>
        <w:t>.</w:t>
      </w:r>
      <w:r w:rsidRPr="00765CB8">
        <w:rPr>
          <w:rStyle w:val="FootnoteReference"/>
          <w:rFonts w:ascii="Times New Roman" w:hAnsi="Times New Roman" w:cs="Times New Roman"/>
          <w:color w:val="000000" w:themeColor="text1"/>
        </w:rPr>
        <w:footnoteReference w:id="11"/>
      </w:r>
      <w:r w:rsidRPr="00765CB8">
        <w:rPr>
          <w:rFonts w:ascii="Times New Roman" w:hAnsi="Times New Roman" w:cs="Times New Roman"/>
          <w:color w:val="000000" w:themeColor="text1"/>
        </w:rPr>
        <w:t xml:space="preserve"> </w:t>
      </w:r>
      <w:r w:rsidR="00DE24F3" w:rsidRPr="00765CB8">
        <w:rPr>
          <w:rFonts w:ascii="Times New Roman" w:hAnsi="Times New Roman" w:cs="Times New Roman"/>
          <w:color w:val="000000" w:themeColor="text1"/>
        </w:rPr>
        <w:t xml:space="preserve">In reality, there is evidence to show that the use of clawback </w:t>
      </w:r>
      <w:r w:rsidR="001041B7">
        <w:rPr>
          <w:rFonts w:ascii="Times New Roman" w:hAnsi="Times New Roman" w:cs="Times New Roman"/>
          <w:color w:val="000000" w:themeColor="text1"/>
        </w:rPr>
        <w:t xml:space="preserve">from legitimate heirs </w:t>
      </w:r>
      <w:r w:rsidR="00DE24F3" w:rsidRPr="00765CB8">
        <w:rPr>
          <w:rFonts w:ascii="Times New Roman" w:hAnsi="Times New Roman" w:cs="Times New Roman"/>
          <w:color w:val="000000" w:themeColor="text1"/>
        </w:rPr>
        <w:t>is diminishing as Member States are moving away from family centric succession towards testamentary freedom</w:t>
      </w:r>
      <w:r w:rsidR="00B514D1">
        <w:rPr>
          <w:rFonts w:ascii="Times New Roman" w:hAnsi="Times New Roman" w:cs="Times New Roman"/>
          <w:color w:val="000000" w:themeColor="text1"/>
        </w:rPr>
        <w:t>.</w:t>
      </w:r>
      <w:r w:rsidR="00DE24F3" w:rsidRPr="00765CB8">
        <w:rPr>
          <w:rStyle w:val="FootnoteReference"/>
          <w:rFonts w:ascii="Times New Roman" w:hAnsi="Times New Roman" w:cs="Times New Roman"/>
          <w:color w:val="000000" w:themeColor="text1"/>
        </w:rPr>
        <w:footnoteReference w:id="12"/>
      </w:r>
      <w:r w:rsidR="00DE24F3" w:rsidRPr="00765CB8">
        <w:rPr>
          <w:rFonts w:ascii="Times New Roman" w:hAnsi="Times New Roman" w:cs="Times New Roman"/>
          <w:color w:val="000000" w:themeColor="text1"/>
        </w:rPr>
        <w:t xml:space="preserve"> </w:t>
      </w:r>
      <w:r w:rsidR="001041B7">
        <w:rPr>
          <w:rFonts w:ascii="Times New Roman" w:hAnsi="Times New Roman" w:cs="Times New Roman"/>
          <w:color w:val="000000" w:themeColor="text1"/>
        </w:rPr>
        <w:t xml:space="preserve">In addition, the aspect of clawback, that the UK found most </w:t>
      </w:r>
      <w:r w:rsidR="00C36C66">
        <w:rPr>
          <w:rFonts w:ascii="Times New Roman" w:hAnsi="Times New Roman" w:cs="Times New Roman"/>
          <w:color w:val="000000" w:themeColor="text1"/>
        </w:rPr>
        <w:t>difficult to accept during the negotiations</w:t>
      </w:r>
      <w:r w:rsidR="001041B7">
        <w:rPr>
          <w:rFonts w:ascii="Times New Roman" w:hAnsi="Times New Roman" w:cs="Times New Roman"/>
          <w:color w:val="000000" w:themeColor="text1"/>
        </w:rPr>
        <w:t xml:space="preserve">, </w:t>
      </w:r>
      <w:r w:rsidR="00C36C66">
        <w:rPr>
          <w:rFonts w:ascii="Times New Roman" w:hAnsi="Times New Roman" w:cs="Times New Roman"/>
          <w:color w:val="000000" w:themeColor="text1"/>
        </w:rPr>
        <w:t xml:space="preserve">that of </w:t>
      </w:r>
      <w:r w:rsidR="001041B7">
        <w:rPr>
          <w:rFonts w:ascii="Times New Roman" w:hAnsi="Times New Roman" w:cs="Times New Roman"/>
          <w:color w:val="000000" w:themeColor="text1"/>
        </w:rPr>
        <w:t>clawback from a third party to satisfy the legitimate portion, is only found in sixteen Member States</w:t>
      </w:r>
      <w:r w:rsidR="006E29EE">
        <w:rPr>
          <w:rFonts w:ascii="Times New Roman" w:hAnsi="Times New Roman" w:cs="Times New Roman"/>
          <w:color w:val="000000" w:themeColor="text1"/>
        </w:rPr>
        <w:t>’</w:t>
      </w:r>
      <w:r w:rsidR="001041B7">
        <w:rPr>
          <w:rFonts w:ascii="Times New Roman" w:hAnsi="Times New Roman" w:cs="Times New Roman"/>
          <w:color w:val="000000" w:themeColor="text1"/>
        </w:rPr>
        <w:t xml:space="preserve"> succession rules</w:t>
      </w:r>
      <w:r w:rsidR="00C36C66">
        <w:rPr>
          <w:rFonts w:ascii="Times New Roman" w:hAnsi="Times New Roman" w:cs="Times New Roman"/>
          <w:color w:val="000000" w:themeColor="text1"/>
        </w:rPr>
        <w:t>,</w:t>
      </w:r>
      <w:r w:rsidR="001041B7">
        <w:rPr>
          <w:rFonts w:ascii="Times New Roman" w:hAnsi="Times New Roman" w:cs="Times New Roman"/>
          <w:color w:val="000000" w:themeColor="text1"/>
        </w:rPr>
        <w:t xml:space="preserve"> with no two sets of rules being the same.</w:t>
      </w:r>
      <w:r w:rsidR="001041B7">
        <w:rPr>
          <w:rStyle w:val="FootnoteReference"/>
          <w:rFonts w:ascii="Times New Roman" w:hAnsi="Times New Roman" w:cs="Times New Roman"/>
          <w:color w:val="000000" w:themeColor="text1"/>
        </w:rPr>
        <w:footnoteReference w:id="13"/>
      </w:r>
      <w:r w:rsidR="001041B7">
        <w:rPr>
          <w:rFonts w:ascii="Times New Roman" w:hAnsi="Times New Roman" w:cs="Times New Roman"/>
          <w:color w:val="000000" w:themeColor="text1"/>
        </w:rPr>
        <w:t xml:space="preserve"> </w:t>
      </w:r>
    </w:p>
    <w:p w14:paraId="2E4AC78C" w14:textId="77777777" w:rsidR="00C36C66" w:rsidRDefault="00C36C66" w:rsidP="00765CB8">
      <w:pPr>
        <w:jc w:val="both"/>
        <w:rPr>
          <w:rFonts w:ascii="Times New Roman" w:hAnsi="Times New Roman" w:cs="Times New Roman"/>
          <w:color w:val="000000" w:themeColor="text1"/>
        </w:rPr>
      </w:pPr>
    </w:p>
    <w:p w14:paraId="3CA1C274" w14:textId="623F37C1" w:rsidR="005C462A" w:rsidRDefault="00DE24F3"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The original need for forced heirship</w:t>
      </w:r>
      <w:r w:rsidR="00445F32" w:rsidRPr="00765CB8">
        <w:rPr>
          <w:rFonts w:ascii="Times New Roman" w:hAnsi="Times New Roman" w:cs="Times New Roman"/>
          <w:color w:val="000000" w:themeColor="text1"/>
        </w:rPr>
        <w:t>,</w:t>
      </w:r>
      <w:r w:rsidRPr="00765CB8">
        <w:rPr>
          <w:rFonts w:ascii="Times New Roman" w:hAnsi="Times New Roman" w:cs="Times New Roman"/>
          <w:color w:val="000000" w:themeColor="text1"/>
        </w:rPr>
        <w:t xml:space="preserve"> that of protecting the family unit and providing financial support for vulnerable parties, is lessening as people live longer and their heirs are more likely to be financially independent.</w:t>
      </w:r>
      <w:r w:rsidRPr="00765CB8">
        <w:rPr>
          <w:rStyle w:val="FootnoteReference"/>
          <w:rFonts w:ascii="Times New Roman" w:hAnsi="Times New Roman" w:cs="Times New Roman"/>
          <w:color w:val="000000" w:themeColor="text1"/>
        </w:rPr>
        <w:footnoteReference w:id="14"/>
      </w:r>
      <w:r w:rsidRPr="00765CB8">
        <w:rPr>
          <w:rFonts w:ascii="Times New Roman" w:hAnsi="Times New Roman" w:cs="Times New Roman"/>
          <w:color w:val="000000" w:themeColor="text1"/>
        </w:rPr>
        <w:t xml:space="preserve"> Indeed, France, which has what would </w:t>
      </w:r>
      <w:r w:rsidRPr="00765CB8">
        <w:rPr>
          <w:rFonts w:ascii="Times New Roman" w:hAnsi="Times New Roman" w:cs="Times New Roman"/>
          <w:color w:val="000000" w:themeColor="text1"/>
        </w:rPr>
        <w:lastRenderedPageBreak/>
        <w:t xml:space="preserve">seem at first glance to be a strict policy towards forced heirship and clawback, reformed its substantive law in 2006 to allow future heirs to </w:t>
      </w:r>
      <w:r w:rsidR="008B632F">
        <w:rPr>
          <w:rFonts w:ascii="Times New Roman" w:hAnsi="Times New Roman" w:cs="Times New Roman"/>
          <w:color w:val="000000" w:themeColor="text1"/>
        </w:rPr>
        <w:t>‘</w:t>
      </w:r>
      <w:r w:rsidRPr="00765CB8">
        <w:rPr>
          <w:rFonts w:ascii="Times New Roman" w:hAnsi="Times New Roman" w:cs="Times New Roman"/>
          <w:color w:val="000000" w:themeColor="text1"/>
        </w:rPr>
        <w:t>waive the right to claim the recovery of gifts</w:t>
      </w:r>
      <w:r w:rsidR="008B632F">
        <w:rPr>
          <w:rFonts w:ascii="Times New Roman" w:hAnsi="Times New Roman" w:cs="Times New Roman"/>
          <w:color w:val="000000" w:themeColor="text1"/>
        </w:rPr>
        <w:t>’</w:t>
      </w:r>
      <w:r w:rsidRPr="00765CB8">
        <w:rPr>
          <w:rFonts w:ascii="Times New Roman" w:hAnsi="Times New Roman" w:cs="Times New Roman"/>
          <w:color w:val="000000" w:themeColor="text1"/>
        </w:rPr>
        <w:t>.</w:t>
      </w:r>
      <w:r w:rsidRPr="00765CB8">
        <w:rPr>
          <w:rStyle w:val="FootnoteReference"/>
          <w:rFonts w:ascii="Times New Roman" w:hAnsi="Times New Roman" w:cs="Times New Roman"/>
          <w:color w:val="000000" w:themeColor="text1"/>
        </w:rPr>
        <w:footnoteReference w:id="15"/>
      </w:r>
      <w:r w:rsidRPr="00765CB8">
        <w:rPr>
          <w:rFonts w:ascii="Times New Roman" w:hAnsi="Times New Roman" w:cs="Times New Roman"/>
          <w:color w:val="000000" w:themeColor="text1"/>
        </w:rPr>
        <w:t xml:space="preserve"> There is also a general trend towards moving away from forced heirship shares towards a monetary claim.</w:t>
      </w:r>
      <w:r w:rsidRPr="00765CB8">
        <w:rPr>
          <w:rStyle w:val="FootnoteReference"/>
          <w:rFonts w:ascii="Times New Roman" w:hAnsi="Times New Roman" w:cs="Times New Roman"/>
          <w:color w:val="000000" w:themeColor="text1"/>
        </w:rPr>
        <w:footnoteReference w:id="16"/>
      </w:r>
      <w:r w:rsidRPr="00765CB8">
        <w:rPr>
          <w:rFonts w:ascii="Times New Roman" w:hAnsi="Times New Roman" w:cs="Times New Roman"/>
          <w:color w:val="000000" w:themeColor="text1"/>
        </w:rPr>
        <w:t xml:space="preserve"> In certain Member States the </w:t>
      </w:r>
      <w:r w:rsidR="008B632F">
        <w:rPr>
          <w:rFonts w:ascii="Times New Roman" w:hAnsi="Times New Roman" w:cs="Times New Roman"/>
          <w:color w:val="000000" w:themeColor="text1"/>
        </w:rPr>
        <w:t>‘</w:t>
      </w:r>
      <w:r w:rsidRPr="00765CB8">
        <w:rPr>
          <w:rFonts w:ascii="Times New Roman" w:hAnsi="Times New Roman" w:cs="Times New Roman"/>
          <w:color w:val="000000" w:themeColor="text1"/>
        </w:rPr>
        <w:t>person with a right to a compulsory portion is no longer an heir but is considered a</w:t>
      </w:r>
      <w:r w:rsidR="00E34736">
        <w:rPr>
          <w:rFonts w:ascii="Times New Roman" w:hAnsi="Times New Roman" w:cs="Times New Roman"/>
          <w:color w:val="000000" w:themeColor="text1"/>
        </w:rPr>
        <w:t xml:space="preserve"> creditor with a monetary claim</w:t>
      </w:r>
      <w:r w:rsidR="008B632F">
        <w:rPr>
          <w:rFonts w:ascii="Times New Roman" w:hAnsi="Times New Roman" w:cs="Times New Roman"/>
          <w:color w:val="000000" w:themeColor="text1"/>
        </w:rPr>
        <w:t>’</w:t>
      </w:r>
      <w:r w:rsidR="00E34736">
        <w:rPr>
          <w:rFonts w:ascii="Times New Roman" w:hAnsi="Times New Roman" w:cs="Times New Roman"/>
          <w:color w:val="000000" w:themeColor="text1"/>
        </w:rPr>
        <w:t>.</w:t>
      </w:r>
      <w:r w:rsidRPr="00765CB8">
        <w:rPr>
          <w:rStyle w:val="FootnoteReference"/>
          <w:rFonts w:ascii="Times New Roman" w:hAnsi="Times New Roman" w:cs="Times New Roman"/>
          <w:color w:val="000000" w:themeColor="text1"/>
        </w:rPr>
        <w:footnoteReference w:id="17"/>
      </w:r>
      <w:r w:rsidRPr="00765CB8">
        <w:rPr>
          <w:rFonts w:ascii="Times New Roman" w:hAnsi="Times New Roman" w:cs="Times New Roman"/>
          <w:color w:val="000000" w:themeColor="text1"/>
        </w:rPr>
        <w:t xml:space="preserve"> This factor, </w:t>
      </w:r>
      <w:r w:rsidR="00324DD9" w:rsidRPr="00765CB8">
        <w:rPr>
          <w:rFonts w:ascii="Times New Roman" w:hAnsi="Times New Roman" w:cs="Times New Roman"/>
          <w:color w:val="000000" w:themeColor="text1"/>
        </w:rPr>
        <w:t xml:space="preserve">arguably </w:t>
      </w:r>
      <w:r w:rsidRPr="00765CB8">
        <w:rPr>
          <w:rFonts w:ascii="Times New Roman" w:hAnsi="Times New Roman" w:cs="Times New Roman"/>
          <w:color w:val="000000" w:themeColor="text1"/>
        </w:rPr>
        <w:t>alters the character of the claim within these Member States.</w:t>
      </w:r>
      <w:r w:rsidR="003F33F4" w:rsidRPr="00765CB8">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 xml:space="preserve">A monetary claim on the estate of the deceased </w:t>
      </w:r>
      <w:r w:rsidR="00E44F77" w:rsidRPr="00765CB8">
        <w:rPr>
          <w:rFonts w:ascii="Times New Roman" w:hAnsi="Times New Roman" w:cs="Times New Roman"/>
          <w:color w:val="000000" w:themeColor="text1"/>
        </w:rPr>
        <w:t xml:space="preserve">by the heir </w:t>
      </w:r>
      <w:r w:rsidRPr="00765CB8">
        <w:rPr>
          <w:rFonts w:ascii="Times New Roman" w:hAnsi="Times New Roman" w:cs="Times New Roman"/>
          <w:color w:val="000000" w:themeColor="text1"/>
        </w:rPr>
        <w:t xml:space="preserve">would not be considered a succession issue within the UK, </w:t>
      </w:r>
      <w:r w:rsidR="003F33F4" w:rsidRPr="00765CB8">
        <w:rPr>
          <w:rFonts w:ascii="Times New Roman" w:hAnsi="Times New Roman" w:cs="Times New Roman"/>
          <w:color w:val="000000" w:themeColor="text1"/>
        </w:rPr>
        <w:t xml:space="preserve">it </w:t>
      </w:r>
      <w:r w:rsidRPr="00765CB8">
        <w:rPr>
          <w:rFonts w:ascii="Times New Roman" w:hAnsi="Times New Roman" w:cs="Times New Roman"/>
          <w:color w:val="000000" w:themeColor="text1"/>
        </w:rPr>
        <w:t xml:space="preserve">would fall within the administration of estates and would be governed by the </w:t>
      </w:r>
      <w:r w:rsidRPr="00765CB8">
        <w:rPr>
          <w:rFonts w:ascii="Times New Roman" w:hAnsi="Times New Roman" w:cs="Times New Roman"/>
          <w:i/>
          <w:color w:val="000000" w:themeColor="text1"/>
        </w:rPr>
        <w:t xml:space="preserve">lex </w:t>
      </w:r>
      <w:proofErr w:type="spellStart"/>
      <w:r w:rsidRPr="00765CB8">
        <w:rPr>
          <w:rFonts w:ascii="Times New Roman" w:hAnsi="Times New Roman" w:cs="Times New Roman"/>
          <w:i/>
          <w:color w:val="000000" w:themeColor="text1"/>
        </w:rPr>
        <w:t>fori</w:t>
      </w:r>
      <w:proofErr w:type="spellEnd"/>
      <w:r w:rsidRPr="00765CB8">
        <w:rPr>
          <w:rFonts w:ascii="Times New Roman" w:hAnsi="Times New Roman" w:cs="Times New Roman"/>
          <w:color w:val="000000" w:themeColor="text1"/>
        </w:rPr>
        <w:t>.</w:t>
      </w:r>
    </w:p>
    <w:p w14:paraId="24ADB72E" w14:textId="77777777" w:rsidR="00BE4200" w:rsidRPr="00765CB8" w:rsidRDefault="00BE4200" w:rsidP="00765CB8">
      <w:pPr>
        <w:jc w:val="both"/>
        <w:rPr>
          <w:rFonts w:ascii="Times New Roman" w:hAnsi="Times New Roman" w:cs="Times New Roman"/>
          <w:color w:val="000000" w:themeColor="text1"/>
        </w:rPr>
      </w:pPr>
    </w:p>
    <w:p w14:paraId="37592DC9" w14:textId="75675BA5" w:rsidR="00836932" w:rsidRDefault="002D4B4E"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The third issue concerned the administration of estates. The UK separates the settling of the debts and tax and </w:t>
      </w:r>
      <w:r w:rsidR="00CF3581" w:rsidRPr="00765CB8">
        <w:rPr>
          <w:rFonts w:ascii="Times New Roman" w:hAnsi="Times New Roman" w:cs="Times New Roman"/>
          <w:color w:val="000000" w:themeColor="text1"/>
        </w:rPr>
        <w:t xml:space="preserve">ingathering </w:t>
      </w:r>
      <w:r w:rsidRPr="00765CB8">
        <w:rPr>
          <w:rFonts w:ascii="Times New Roman" w:hAnsi="Times New Roman" w:cs="Times New Roman"/>
          <w:color w:val="000000" w:themeColor="text1"/>
        </w:rPr>
        <w:t>of the estate from the distribution of the estate.</w:t>
      </w:r>
      <w:r w:rsidRPr="00765CB8">
        <w:rPr>
          <w:rStyle w:val="FootnoteReference"/>
          <w:rFonts w:ascii="Times New Roman" w:hAnsi="Times New Roman" w:cs="Times New Roman"/>
          <w:color w:val="000000" w:themeColor="text1"/>
        </w:rPr>
        <w:footnoteReference w:id="18"/>
      </w:r>
      <w:r w:rsidRPr="00765CB8">
        <w:rPr>
          <w:rFonts w:ascii="Times New Roman" w:hAnsi="Times New Roman" w:cs="Times New Roman"/>
          <w:color w:val="000000" w:themeColor="text1"/>
        </w:rPr>
        <w:t xml:space="preserve"> Only the latter part falls within the law of succession within the UK, with the administration of estates being considered a </w:t>
      </w:r>
      <w:r w:rsidR="003F33F4" w:rsidRPr="00765CB8">
        <w:rPr>
          <w:rFonts w:ascii="Times New Roman" w:hAnsi="Times New Roman" w:cs="Times New Roman"/>
          <w:color w:val="000000" w:themeColor="text1"/>
        </w:rPr>
        <w:t>separate category</w:t>
      </w:r>
      <w:r w:rsidR="00F23E47">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 xml:space="preserve">and governed by the </w:t>
      </w:r>
      <w:r w:rsidRPr="00765CB8">
        <w:rPr>
          <w:rFonts w:ascii="Times New Roman" w:hAnsi="Times New Roman" w:cs="Times New Roman"/>
          <w:i/>
          <w:color w:val="000000" w:themeColor="text1"/>
        </w:rPr>
        <w:t xml:space="preserve">lex </w:t>
      </w:r>
      <w:proofErr w:type="spellStart"/>
      <w:r w:rsidRPr="00765CB8">
        <w:rPr>
          <w:rFonts w:ascii="Times New Roman" w:hAnsi="Times New Roman" w:cs="Times New Roman"/>
          <w:i/>
          <w:color w:val="000000" w:themeColor="text1"/>
        </w:rPr>
        <w:t>fori</w:t>
      </w:r>
      <w:proofErr w:type="spellEnd"/>
      <w:r w:rsidRPr="00765CB8">
        <w:rPr>
          <w:rFonts w:ascii="Times New Roman" w:hAnsi="Times New Roman" w:cs="Times New Roman"/>
          <w:color w:val="000000" w:themeColor="text1"/>
        </w:rPr>
        <w:t>.</w:t>
      </w:r>
      <w:r w:rsidRPr="00765CB8">
        <w:rPr>
          <w:rStyle w:val="FootnoteReference"/>
          <w:rFonts w:ascii="Times New Roman" w:hAnsi="Times New Roman" w:cs="Times New Roman"/>
          <w:color w:val="000000" w:themeColor="text1"/>
        </w:rPr>
        <w:footnoteReference w:id="19"/>
      </w:r>
      <w:r w:rsidRPr="00765CB8">
        <w:rPr>
          <w:rFonts w:ascii="Times New Roman" w:hAnsi="Times New Roman" w:cs="Times New Roman"/>
          <w:color w:val="000000" w:themeColor="text1"/>
        </w:rPr>
        <w:t xml:space="preserve"> These issues were still unresolved by the time the negotiation process ended and as a result the UK took the decision in 2012, </w:t>
      </w:r>
      <w:r w:rsidR="00294B13" w:rsidRPr="00765CB8">
        <w:rPr>
          <w:rFonts w:ascii="Times New Roman" w:hAnsi="Times New Roman" w:cs="Times New Roman"/>
          <w:color w:val="000000" w:themeColor="text1"/>
        </w:rPr>
        <w:t>not</w:t>
      </w:r>
      <w:r w:rsidR="00CF3581" w:rsidRPr="00765CB8">
        <w:rPr>
          <w:rFonts w:ascii="Times New Roman" w:hAnsi="Times New Roman" w:cs="Times New Roman"/>
          <w:color w:val="000000" w:themeColor="text1"/>
        </w:rPr>
        <w:t xml:space="preserve"> to opt in</w:t>
      </w:r>
      <w:r w:rsidRPr="00765CB8">
        <w:rPr>
          <w:rFonts w:ascii="Times New Roman" w:hAnsi="Times New Roman" w:cs="Times New Roman"/>
          <w:color w:val="000000" w:themeColor="text1"/>
        </w:rPr>
        <w:t xml:space="preserve">to the </w:t>
      </w:r>
      <w:r w:rsidR="003F33F4" w:rsidRPr="00765CB8">
        <w:rPr>
          <w:rFonts w:ascii="Times New Roman" w:hAnsi="Times New Roman" w:cs="Times New Roman"/>
          <w:color w:val="000000" w:themeColor="text1"/>
        </w:rPr>
        <w:t xml:space="preserve">final version of the </w:t>
      </w:r>
      <w:r w:rsidRPr="00765CB8">
        <w:rPr>
          <w:rFonts w:ascii="Times New Roman" w:hAnsi="Times New Roman" w:cs="Times New Roman"/>
          <w:color w:val="000000" w:themeColor="text1"/>
        </w:rPr>
        <w:t>Succession Regulation.</w:t>
      </w:r>
      <w:r w:rsidR="005914AE" w:rsidRPr="00765CB8">
        <w:rPr>
          <w:rStyle w:val="FootnoteReference"/>
          <w:rFonts w:ascii="Times New Roman" w:hAnsi="Times New Roman" w:cs="Times New Roman"/>
          <w:color w:val="000000" w:themeColor="text1"/>
        </w:rPr>
        <w:footnoteReference w:id="20"/>
      </w:r>
      <w:r w:rsidR="00BE4200">
        <w:rPr>
          <w:rFonts w:ascii="Times New Roman" w:hAnsi="Times New Roman" w:cs="Times New Roman"/>
          <w:color w:val="000000" w:themeColor="text1"/>
        </w:rPr>
        <w:t xml:space="preserve"> </w:t>
      </w:r>
      <w:r w:rsidR="00836932" w:rsidRPr="00765CB8">
        <w:rPr>
          <w:rFonts w:ascii="Times New Roman" w:hAnsi="Times New Roman" w:cs="Times New Roman"/>
          <w:color w:val="000000" w:themeColor="text1"/>
        </w:rPr>
        <w:t xml:space="preserve">However, despite not being party to the Regulation, it is </w:t>
      </w:r>
      <w:r w:rsidR="0013601A" w:rsidRPr="00765CB8">
        <w:rPr>
          <w:rFonts w:ascii="Times New Roman" w:hAnsi="Times New Roman" w:cs="Times New Roman"/>
          <w:color w:val="000000" w:themeColor="text1"/>
        </w:rPr>
        <w:t>clear</w:t>
      </w:r>
      <w:r w:rsidR="00836932" w:rsidRPr="00765CB8">
        <w:rPr>
          <w:rFonts w:ascii="Times New Roman" w:hAnsi="Times New Roman" w:cs="Times New Roman"/>
          <w:color w:val="000000" w:themeColor="text1"/>
        </w:rPr>
        <w:t xml:space="preserve"> that the Regulation has the potential to affect the estates of UK nationals.</w:t>
      </w:r>
      <w:r w:rsidR="00836932" w:rsidRPr="00765CB8">
        <w:rPr>
          <w:rStyle w:val="FootnoteReference"/>
          <w:rFonts w:ascii="Times New Roman" w:hAnsi="Times New Roman" w:cs="Times New Roman"/>
          <w:color w:val="000000" w:themeColor="text1"/>
        </w:rPr>
        <w:footnoteReference w:id="21"/>
      </w:r>
      <w:r w:rsidR="00836932" w:rsidRPr="00765CB8">
        <w:rPr>
          <w:rFonts w:ascii="Times New Roman" w:hAnsi="Times New Roman" w:cs="Times New Roman"/>
          <w:color w:val="000000" w:themeColor="text1"/>
        </w:rPr>
        <w:t xml:space="preserve"> This chapter considers the jurisdiction and applicable law rules within the Regulation, the current and possible future private international law of succession in Scotland, the potential impact of the Succession Regulation on cross-border succession cases involving some people who are connected with Scotland, focussing in particular on estate planning.</w:t>
      </w:r>
    </w:p>
    <w:p w14:paraId="1933AEC6" w14:textId="77777777" w:rsidR="00D37DE8" w:rsidRPr="00765CB8" w:rsidRDefault="00D37DE8" w:rsidP="00765CB8">
      <w:pPr>
        <w:jc w:val="both"/>
        <w:rPr>
          <w:rFonts w:ascii="Times New Roman" w:hAnsi="Times New Roman" w:cs="Times New Roman"/>
          <w:color w:val="000000" w:themeColor="text1"/>
        </w:rPr>
      </w:pPr>
    </w:p>
    <w:p w14:paraId="733E5C32" w14:textId="77777777" w:rsidR="002D53C2" w:rsidRPr="00765CB8" w:rsidRDefault="002D53C2" w:rsidP="00765CB8">
      <w:pPr>
        <w:jc w:val="both"/>
        <w:rPr>
          <w:rFonts w:ascii="Times New Roman" w:hAnsi="Times New Roman" w:cs="Times New Roman"/>
          <w:color w:val="000000" w:themeColor="text1"/>
        </w:rPr>
      </w:pPr>
    </w:p>
    <w:p w14:paraId="3A63E4BF" w14:textId="77777777" w:rsidR="00127EE6" w:rsidRPr="00765CB8" w:rsidRDefault="00765CB8"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II. THE SUCCESSION REGULATION</w:t>
      </w:r>
    </w:p>
    <w:p w14:paraId="254B5386" w14:textId="77777777" w:rsidR="00275DA5" w:rsidRPr="00765CB8" w:rsidRDefault="00275DA5" w:rsidP="00765CB8">
      <w:pPr>
        <w:jc w:val="both"/>
        <w:rPr>
          <w:rFonts w:ascii="Times New Roman" w:hAnsi="Times New Roman" w:cs="Times New Roman"/>
          <w:color w:val="000000" w:themeColor="text1"/>
        </w:rPr>
      </w:pPr>
    </w:p>
    <w:p w14:paraId="55CFF0E1" w14:textId="77777777" w:rsidR="00275DA5" w:rsidRPr="00951E93" w:rsidRDefault="00951E93" w:rsidP="00951E93">
      <w:pPr>
        <w:jc w:val="both"/>
        <w:rPr>
          <w:rFonts w:ascii="Times New Roman" w:hAnsi="Times New Roman" w:cs="Times New Roman"/>
          <w:b/>
          <w:color w:val="000000" w:themeColor="text1"/>
        </w:rPr>
      </w:pPr>
      <w:r w:rsidRPr="00951E93">
        <w:rPr>
          <w:rFonts w:ascii="Times New Roman" w:hAnsi="Times New Roman" w:cs="Times New Roman"/>
          <w:b/>
          <w:color w:val="000000" w:themeColor="text1"/>
        </w:rPr>
        <w:t xml:space="preserve">A. </w:t>
      </w:r>
      <w:r w:rsidR="00DE3738" w:rsidRPr="00951E93">
        <w:rPr>
          <w:rFonts w:ascii="Times New Roman" w:hAnsi="Times New Roman" w:cs="Times New Roman"/>
          <w:b/>
          <w:color w:val="000000" w:themeColor="text1"/>
        </w:rPr>
        <w:t xml:space="preserve">The Succession Regulation and the </w:t>
      </w:r>
      <w:r w:rsidR="007C1D1A" w:rsidRPr="00951E93">
        <w:rPr>
          <w:rFonts w:ascii="Times New Roman" w:hAnsi="Times New Roman" w:cs="Times New Roman"/>
          <w:b/>
          <w:color w:val="000000" w:themeColor="text1"/>
        </w:rPr>
        <w:t xml:space="preserve">UK </w:t>
      </w:r>
      <w:r w:rsidR="008A6670" w:rsidRPr="00951E93">
        <w:rPr>
          <w:rFonts w:ascii="Times New Roman" w:hAnsi="Times New Roman" w:cs="Times New Roman"/>
          <w:b/>
          <w:color w:val="000000" w:themeColor="text1"/>
        </w:rPr>
        <w:t>national</w:t>
      </w:r>
    </w:p>
    <w:p w14:paraId="2558C03B" w14:textId="77777777" w:rsidR="00127EE6" w:rsidRPr="00765CB8" w:rsidRDefault="00127EE6" w:rsidP="00765CB8">
      <w:pPr>
        <w:jc w:val="both"/>
        <w:rPr>
          <w:rFonts w:ascii="Times New Roman" w:hAnsi="Times New Roman" w:cs="Times New Roman"/>
          <w:color w:val="000000" w:themeColor="text1"/>
        </w:rPr>
      </w:pPr>
    </w:p>
    <w:p w14:paraId="58D35EC4" w14:textId="77777777" w:rsidR="000B2BEB" w:rsidRPr="00951E93" w:rsidRDefault="00951E93" w:rsidP="00951E93">
      <w:pPr>
        <w:jc w:val="both"/>
        <w:rPr>
          <w:rFonts w:ascii="Times New Roman" w:hAnsi="Times New Roman" w:cs="Times New Roman"/>
          <w:color w:val="000000" w:themeColor="text1"/>
        </w:rPr>
      </w:pPr>
      <w:r w:rsidRPr="00951E93">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00C24BF8" w:rsidRPr="00951E93">
        <w:rPr>
          <w:rFonts w:ascii="Times New Roman" w:hAnsi="Times New Roman" w:cs="Times New Roman"/>
          <w:color w:val="000000" w:themeColor="text1"/>
        </w:rPr>
        <w:t xml:space="preserve">Party </w:t>
      </w:r>
      <w:r w:rsidR="008A6670" w:rsidRPr="00951E93">
        <w:rPr>
          <w:rFonts w:ascii="Times New Roman" w:hAnsi="Times New Roman" w:cs="Times New Roman"/>
          <w:color w:val="000000" w:themeColor="text1"/>
        </w:rPr>
        <w:t xml:space="preserve">autonomy </w:t>
      </w:r>
      <w:r w:rsidR="003F33F4" w:rsidRPr="00951E93">
        <w:rPr>
          <w:rFonts w:ascii="Times New Roman" w:hAnsi="Times New Roman" w:cs="Times New Roman"/>
          <w:color w:val="000000" w:themeColor="text1"/>
        </w:rPr>
        <w:t xml:space="preserve">and the UK </w:t>
      </w:r>
      <w:r w:rsidR="008A6670" w:rsidRPr="00951E93">
        <w:rPr>
          <w:rFonts w:ascii="Times New Roman" w:hAnsi="Times New Roman" w:cs="Times New Roman"/>
          <w:color w:val="000000" w:themeColor="text1"/>
        </w:rPr>
        <w:t>national</w:t>
      </w:r>
    </w:p>
    <w:p w14:paraId="3FE75C0C" w14:textId="77777777" w:rsidR="00C24BF8" w:rsidRPr="00765CB8" w:rsidRDefault="00C24BF8" w:rsidP="00765CB8">
      <w:pPr>
        <w:jc w:val="both"/>
        <w:rPr>
          <w:rFonts w:ascii="Times New Roman" w:hAnsi="Times New Roman" w:cs="Times New Roman"/>
          <w:color w:val="000000" w:themeColor="text1"/>
        </w:rPr>
      </w:pPr>
    </w:p>
    <w:p w14:paraId="29C2FFD8" w14:textId="13C637D1" w:rsidR="005C462A" w:rsidRDefault="00C24BF8"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E</w:t>
      </w:r>
      <w:r w:rsidR="003A43C7" w:rsidRPr="00765CB8">
        <w:rPr>
          <w:rFonts w:ascii="Times New Roman" w:hAnsi="Times New Roman" w:cs="Times New Roman"/>
          <w:color w:val="000000" w:themeColor="text1"/>
        </w:rPr>
        <w:t xml:space="preserve">ven though the UK </w:t>
      </w:r>
      <w:r w:rsidR="00F66345">
        <w:rPr>
          <w:rFonts w:ascii="Times New Roman" w:hAnsi="Times New Roman" w:cs="Times New Roman"/>
          <w:color w:val="000000" w:themeColor="text1"/>
        </w:rPr>
        <w:t>did</w:t>
      </w:r>
      <w:r w:rsidR="00F66345" w:rsidRPr="00765CB8">
        <w:rPr>
          <w:rFonts w:ascii="Times New Roman" w:hAnsi="Times New Roman" w:cs="Times New Roman"/>
          <w:color w:val="000000" w:themeColor="text1"/>
        </w:rPr>
        <w:t xml:space="preserve"> </w:t>
      </w:r>
      <w:r w:rsidR="003A43C7" w:rsidRPr="00765CB8">
        <w:rPr>
          <w:rFonts w:ascii="Times New Roman" w:hAnsi="Times New Roman" w:cs="Times New Roman"/>
          <w:color w:val="000000" w:themeColor="text1"/>
        </w:rPr>
        <w:t>not opt into the Succession Regulation</w:t>
      </w:r>
      <w:r w:rsidR="00F66345">
        <w:rPr>
          <w:rFonts w:ascii="Times New Roman" w:hAnsi="Times New Roman" w:cs="Times New Roman"/>
          <w:color w:val="000000" w:themeColor="text1"/>
        </w:rPr>
        <w:t xml:space="preserve"> and now is no longer a member of the European Union</w:t>
      </w:r>
      <w:r w:rsidR="003A43C7" w:rsidRPr="00765CB8">
        <w:rPr>
          <w:rFonts w:ascii="Times New Roman" w:hAnsi="Times New Roman" w:cs="Times New Roman"/>
          <w:color w:val="000000" w:themeColor="text1"/>
        </w:rPr>
        <w:t xml:space="preserve">, it is important to recognise that certain UK parties may still be affected by the Regulation. The Succession Regulation allows for a level of party autonomy and a UK national who is habitually resident in a participating </w:t>
      </w:r>
      <w:r w:rsidR="00CE36DC" w:rsidRPr="00765CB8">
        <w:rPr>
          <w:rFonts w:ascii="Times New Roman" w:hAnsi="Times New Roman" w:cs="Times New Roman"/>
          <w:color w:val="000000" w:themeColor="text1"/>
        </w:rPr>
        <w:t>Member S</w:t>
      </w:r>
      <w:r w:rsidR="003A43C7" w:rsidRPr="00765CB8">
        <w:rPr>
          <w:rFonts w:ascii="Times New Roman" w:hAnsi="Times New Roman" w:cs="Times New Roman"/>
          <w:color w:val="000000" w:themeColor="text1"/>
        </w:rPr>
        <w:t>tate with property in th</w:t>
      </w:r>
      <w:r w:rsidR="00CE36DC" w:rsidRPr="00765CB8">
        <w:rPr>
          <w:rFonts w:ascii="Times New Roman" w:hAnsi="Times New Roman" w:cs="Times New Roman"/>
          <w:color w:val="000000" w:themeColor="text1"/>
        </w:rPr>
        <w:t>at</w:t>
      </w:r>
      <w:r w:rsidR="003A43C7" w:rsidRPr="00765CB8">
        <w:rPr>
          <w:rFonts w:ascii="Times New Roman" w:hAnsi="Times New Roman" w:cs="Times New Roman"/>
          <w:color w:val="000000" w:themeColor="text1"/>
        </w:rPr>
        <w:t xml:space="preserve"> </w:t>
      </w:r>
      <w:r w:rsidR="00CE36DC" w:rsidRPr="00765CB8">
        <w:rPr>
          <w:rFonts w:ascii="Times New Roman" w:hAnsi="Times New Roman" w:cs="Times New Roman"/>
          <w:color w:val="000000" w:themeColor="text1"/>
        </w:rPr>
        <w:t>S</w:t>
      </w:r>
      <w:r w:rsidR="003A43C7" w:rsidRPr="00765CB8">
        <w:rPr>
          <w:rFonts w:ascii="Times New Roman" w:hAnsi="Times New Roman" w:cs="Times New Roman"/>
          <w:color w:val="000000" w:themeColor="text1"/>
        </w:rPr>
        <w:t xml:space="preserve">tate or other participating </w:t>
      </w:r>
      <w:r w:rsidR="00CE36DC" w:rsidRPr="00765CB8">
        <w:rPr>
          <w:rFonts w:ascii="Times New Roman" w:hAnsi="Times New Roman" w:cs="Times New Roman"/>
          <w:color w:val="000000" w:themeColor="text1"/>
        </w:rPr>
        <w:t>Member S</w:t>
      </w:r>
      <w:r w:rsidR="003A43C7" w:rsidRPr="00765CB8">
        <w:rPr>
          <w:rFonts w:ascii="Times New Roman" w:hAnsi="Times New Roman" w:cs="Times New Roman"/>
          <w:color w:val="000000" w:themeColor="text1"/>
        </w:rPr>
        <w:t xml:space="preserve">tate will be able to choose the law of his </w:t>
      </w:r>
      <w:r w:rsidR="003F33F4" w:rsidRPr="00765CB8">
        <w:rPr>
          <w:rFonts w:ascii="Times New Roman" w:hAnsi="Times New Roman" w:cs="Times New Roman"/>
          <w:color w:val="000000" w:themeColor="text1"/>
        </w:rPr>
        <w:t xml:space="preserve">or her </w:t>
      </w:r>
      <w:r w:rsidR="003A43C7" w:rsidRPr="00765CB8">
        <w:rPr>
          <w:rFonts w:ascii="Times New Roman" w:hAnsi="Times New Roman" w:cs="Times New Roman"/>
          <w:color w:val="000000" w:themeColor="text1"/>
        </w:rPr>
        <w:t xml:space="preserve">nationality to govern his </w:t>
      </w:r>
      <w:r w:rsidR="003F33F4" w:rsidRPr="00765CB8">
        <w:rPr>
          <w:rFonts w:ascii="Times New Roman" w:hAnsi="Times New Roman" w:cs="Times New Roman"/>
          <w:color w:val="000000" w:themeColor="text1"/>
        </w:rPr>
        <w:t xml:space="preserve">or her </w:t>
      </w:r>
      <w:r w:rsidR="003A43C7" w:rsidRPr="00765CB8">
        <w:rPr>
          <w:rFonts w:ascii="Times New Roman" w:hAnsi="Times New Roman" w:cs="Times New Roman"/>
          <w:color w:val="000000" w:themeColor="text1"/>
        </w:rPr>
        <w:t>succession.</w:t>
      </w:r>
      <w:r w:rsidR="003A43C7" w:rsidRPr="00765CB8">
        <w:rPr>
          <w:rStyle w:val="FootnoteReference"/>
          <w:rFonts w:ascii="Times New Roman" w:hAnsi="Times New Roman" w:cs="Times New Roman"/>
          <w:color w:val="000000" w:themeColor="text1"/>
        </w:rPr>
        <w:footnoteReference w:id="22"/>
      </w:r>
      <w:r w:rsidR="003A43C7" w:rsidRPr="00765CB8">
        <w:rPr>
          <w:rFonts w:ascii="Times New Roman" w:hAnsi="Times New Roman" w:cs="Times New Roman"/>
          <w:color w:val="000000" w:themeColor="text1"/>
        </w:rPr>
        <w:t xml:space="preserve"> </w:t>
      </w:r>
      <w:r w:rsidR="00CE36DC" w:rsidRPr="00765CB8">
        <w:rPr>
          <w:rFonts w:ascii="Times New Roman" w:hAnsi="Times New Roman" w:cs="Times New Roman"/>
          <w:color w:val="000000" w:themeColor="text1"/>
        </w:rPr>
        <w:t xml:space="preserve">The UK national testator would be wise to expressly choose the law of Scotland as choosing the law of the UK could lead to the choice being held to be invalid or to the law of the wrong part of the UK being applied. Article 36 </w:t>
      </w:r>
      <w:r w:rsidR="00F66345">
        <w:rPr>
          <w:rFonts w:ascii="Times New Roman" w:hAnsi="Times New Roman" w:cs="Times New Roman"/>
          <w:color w:val="000000" w:themeColor="text1"/>
        </w:rPr>
        <w:t xml:space="preserve">of the </w:t>
      </w:r>
      <w:r w:rsidR="0024761E" w:rsidRPr="00765CB8">
        <w:rPr>
          <w:rFonts w:ascii="Times New Roman" w:hAnsi="Times New Roman" w:cs="Times New Roman"/>
          <w:color w:val="000000" w:themeColor="text1"/>
        </w:rPr>
        <w:t>Succession</w:t>
      </w:r>
      <w:r w:rsidR="00CE36DC" w:rsidRPr="00765CB8">
        <w:rPr>
          <w:rFonts w:ascii="Times New Roman" w:hAnsi="Times New Roman" w:cs="Times New Roman"/>
          <w:color w:val="000000" w:themeColor="text1"/>
        </w:rPr>
        <w:t xml:space="preserve"> Regulation provides </w:t>
      </w:r>
      <w:r w:rsidR="00CE36DC" w:rsidRPr="00765CB8">
        <w:rPr>
          <w:rFonts w:ascii="Times New Roman" w:hAnsi="Times New Roman" w:cs="Times New Roman"/>
          <w:color w:val="000000" w:themeColor="text1"/>
        </w:rPr>
        <w:lastRenderedPageBreak/>
        <w:t>rules for States with more than one legal system. So if the succession is being decided in a participating Member State it will apply Article 36 to determine what happens when a UK national makes a choice of UK or Scots law to govern his or her estate.</w:t>
      </w:r>
      <w:r w:rsidR="00F23E47">
        <w:rPr>
          <w:rFonts w:ascii="Times New Roman" w:hAnsi="Times New Roman" w:cs="Times New Roman"/>
          <w:color w:val="000000" w:themeColor="text1"/>
        </w:rPr>
        <w:t xml:space="preserve"> </w:t>
      </w:r>
      <w:r w:rsidR="00CE36DC" w:rsidRPr="00765CB8">
        <w:rPr>
          <w:rFonts w:ascii="Times New Roman" w:hAnsi="Times New Roman" w:cs="Times New Roman"/>
          <w:color w:val="000000" w:themeColor="text1"/>
        </w:rPr>
        <w:t>Article 36(1) directs the decision maker to the internal conflict-of-laws rules in the UK.</w:t>
      </w:r>
      <w:r w:rsidR="00F23E47">
        <w:rPr>
          <w:rFonts w:ascii="Times New Roman" w:hAnsi="Times New Roman" w:cs="Times New Roman"/>
          <w:color w:val="000000" w:themeColor="text1"/>
        </w:rPr>
        <w:t xml:space="preserve"> </w:t>
      </w:r>
      <w:r w:rsidR="00CE36DC" w:rsidRPr="00765CB8">
        <w:rPr>
          <w:rFonts w:ascii="Times New Roman" w:hAnsi="Times New Roman" w:cs="Times New Roman"/>
          <w:color w:val="000000" w:themeColor="text1"/>
        </w:rPr>
        <w:t>No such rules exist to determine what happens when a UK national chooses UK law or a law of a part of the UK to govern his or her estate.</w:t>
      </w:r>
      <w:r w:rsidR="00F23E47">
        <w:rPr>
          <w:rFonts w:ascii="Times New Roman" w:hAnsi="Times New Roman" w:cs="Times New Roman"/>
          <w:color w:val="000000" w:themeColor="text1"/>
        </w:rPr>
        <w:t xml:space="preserve"> </w:t>
      </w:r>
      <w:r w:rsidR="000B2BEB" w:rsidRPr="00765CB8">
        <w:rPr>
          <w:rFonts w:ascii="Times New Roman" w:hAnsi="Times New Roman" w:cs="Times New Roman"/>
          <w:color w:val="000000" w:themeColor="text1"/>
        </w:rPr>
        <w:t>Therefore,</w:t>
      </w:r>
      <w:r w:rsidR="00CE36DC" w:rsidRPr="00765CB8">
        <w:rPr>
          <w:rFonts w:ascii="Times New Roman" w:hAnsi="Times New Roman" w:cs="Times New Roman"/>
          <w:color w:val="000000" w:themeColor="text1"/>
        </w:rPr>
        <w:t xml:space="preserve"> the decision maker in the participating Member State will apply Article 36(2)(b) of the Regulation. This </w:t>
      </w:r>
      <w:r w:rsidR="00313040" w:rsidRPr="00765CB8">
        <w:rPr>
          <w:rFonts w:ascii="Times New Roman" w:hAnsi="Times New Roman" w:cs="Times New Roman"/>
          <w:color w:val="000000" w:themeColor="text1"/>
        </w:rPr>
        <w:t>directs him or her to regard a reference to the la</w:t>
      </w:r>
      <w:r w:rsidR="00601817" w:rsidRPr="00765CB8">
        <w:rPr>
          <w:rFonts w:ascii="Times New Roman" w:hAnsi="Times New Roman" w:cs="Times New Roman"/>
          <w:color w:val="000000" w:themeColor="text1"/>
        </w:rPr>
        <w:t xml:space="preserve">w of the UK to be construed as </w:t>
      </w:r>
      <w:r w:rsidR="008B632F">
        <w:rPr>
          <w:rFonts w:ascii="Times New Roman" w:hAnsi="Times New Roman" w:cs="Times New Roman"/>
          <w:color w:val="000000" w:themeColor="text1"/>
        </w:rPr>
        <w:t>‘</w:t>
      </w:r>
      <w:r w:rsidR="00313040" w:rsidRPr="00765CB8">
        <w:rPr>
          <w:rFonts w:ascii="Times New Roman" w:hAnsi="Times New Roman" w:cs="Times New Roman"/>
          <w:color w:val="000000" w:themeColor="text1"/>
        </w:rPr>
        <w:t>referring to the law of the territorial unit with which the deceased had th</w:t>
      </w:r>
      <w:r w:rsidR="00601817" w:rsidRPr="00765CB8">
        <w:rPr>
          <w:rFonts w:ascii="Times New Roman" w:hAnsi="Times New Roman" w:cs="Times New Roman"/>
          <w:color w:val="000000" w:themeColor="text1"/>
        </w:rPr>
        <w:t>e closest connection</w:t>
      </w:r>
      <w:r w:rsidR="008B632F">
        <w:rPr>
          <w:rFonts w:ascii="Times New Roman" w:hAnsi="Times New Roman" w:cs="Times New Roman"/>
          <w:color w:val="000000" w:themeColor="text1"/>
        </w:rPr>
        <w:t>’</w:t>
      </w:r>
      <w:r w:rsidR="00313040" w:rsidRPr="00765CB8">
        <w:rPr>
          <w:rFonts w:ascii="Times New Roman" w:hAnsi="Times New Roman" w:cs="Times New Roman"/>
          <w:color w:val="000000" w:themeColor="text1"/>
        </w:rPr>
        <w:t>.</w:t>
      </w:r>
      <w:r w:rsidR="00265B2E" w:rsidRPr="00765CB8">
        <w:rPr>
          <w:rStyle w:val="FootnoteReference"/>
          <w:rFonts w:ascii="Times New Roman" w:hAnsi="Times New Roman" w:cs="Times New Roman"/>
          <w:color w:val="000000" w:themeColor="text1"/>
        </w:rPr>
        <w:footnoteReference w:id="23"/>
      </w:r>
    </w:p>
    <w:p w14:paraId="38DDBFE3" w14:textId="77777777" w:rsidR="00BE4200" w:rsidRPr="00765CB8" w:rsidRDefault="00BE4200" w:rsidP="00765CB8">
      <w:pPr>
        <w:jc w:val="both"/>
        <w:rPr>
          <w:rFonts w:ascii="Times New Roman" w:hAnsi="Times New Roman" w:cs="Times New Roman"/>
          <w:color w:val="000000" w:themeColor="text1"/>
        </w:rPr>
      </w:pPr>
    </w:p>
    <w:p w14:paraId="2E1726B5" w14:textId="36DBDE35" w:rsidR="005C462A" w:rsidRDefault="001E449F"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W</w:t>
      </w:r>
      <w:r w:rsidR="00313040" w:rsidRPr="00765CB8">
        <w:rPr>
          <w:rFonts w:ascii="Times New Roman" w:hAnsi="Times New Roman" w:cs="Times New Roman"/>
          <w:color w:val="000000" w:themeColor="text1"/>
        </w:rPr>
        <w:t xml:space="preserve">hat should the decision maker in the participating Member State do when the UK national testator has expressly chosen Scots law to govern his or her succession? On a literal reading of the Regulation the decision maker may only give effect to this choice of Scots law if </w:t>
      </w:r>
      <w:r w:rsidR="00FF01B3" w:rsidRPr="00765CB8">
        <w:rPr>
          <w:rFonts w:ascii="Times New Roman" w:hAnsi="Times New Roman" w:cs="Times New Roman"/>
          <w:color w:val="000000" w:themeColor="text1"/>
        </w:rPr>
        <w:t>Scotland</w:t>
      </w:r>
      <w:r w:rsidR="00313040" w:rsidRPr="00765CB8">
        <w:rPr>
          <w:rFonts w:ascii="Times New Roman" w:hAnsi="Times New Roman" w:cs="Times New Roman"/>
          <w:color w:val="000000" w:themeColor="text1"/>
        </w:rPr>
        <w:t xml:space="preserve"> happens to be the territorial unit with which the deceased had the closest connection in the UK.</w:t>
      </w:r>
      <w:r w:rsidR="00F23E47">
        <w:rPr>
          <w:rFonts w:ascii="Times New Roman" w:hAnsi="Times New Roman" w:cs="Times New Roman"/>
          <w:color w:val="000000" w:themeColor="text1"/>
        </w:rPr>
        <w:t xml:space="preserve"> </w:t>
      </w:r>
      <w:r w:rsidR="00313040" w:rsidRPr="00765CB8">
        <w:rPr>
          <w:rFonts w:ascii="Times New Roman" w:hAnsi="Times New Roman" w:cs="Times New Roman"/>
          <w:color w:val="000000" w:themeColor="text1"/>
        </w:rPr>
        <w:t xml:space="preserve">The policy reason behind such a literal construction would be to respect the fact that </w:t>
      </w:r>
      <w:r w:rsidR="00FF01B3" w:rsidRPr="00765CB8">
        <w:rPr>
          <w:rFonts w:ascii="Times New Roman" w:hAnsi="Times New Roman" w:cs="Times New Roman"/>
          <w:color w:val="000000" w:themeColor="text1"/>
        </w:rPr>
        <w:t>the State of the nationality of the deceased may have an interest in not giving the testator unlimited freedom to choose any law in that State.</w:t>
      </w:r>
      <w:r w:rsidR="00F23E47">
        <w:rPr>
          <w:rFonts w:ascii="Times New Roman" w:hAnsi="Times New Roman" w:cs="Times New Roman"/>
          <w:color w:val="000000" w:themeColor="text1"/>
        </w:rPr>
        <w:t xml:space="preserve"> </w:t>
      </w:r>
      <w:r w:rsidR="00FF01B3" w:rsidRPr="00765CB8">
        <w:rPr>
          <w:rFonts w:ascii="Times New Roman" w:hAnsi="Times New Roman" w:cs="Times New Roman"/>
          <w:color w:val="000000" w:themeColor="text1"/>
        </w:rPr>
        <w:t>If that State has not created its own internal conflict-of-laws rules on the matter, as permitted by Article 36(1) of the Regulation, then the EU legislature has created a default rule that assumes the State would want a very close connection between the testator and the particular legal system he or she has chosen to govern his or her succession.</w:t>
      </w:r>
      <w:r w:rsidR="00F23E47">
        <w:rPr>
          <w:rFonts w:ascii="Times New Roman" w:hAnsi="Times New Roman" w:cs="Times New Roman"/>
          <w:color w:val="000000" w:themeColor="text1"/>
        </w:rPr>
        <w:t xml:space="preserve"> </w:t>
      </w:r>
      <w:r w:rsidR="00F6456B" w:rsidRPr="00765CB8">
        <w:rPr>
          <w:rFonts w:ascii="Times New Roman" w:hAnsi="Times New Roman" w:cs="Times New Roman"/>
          <w:color w:val="000000" w:themeColor="text1"/>
        </w:rPr>
        <w:t xml:space="preserve">Further support for a literal construction can be found in </w:t>
      </w:r>
      <w:r w:rsidR="00F839C6" w:rsidRPr="00765CB8">
        <w:rPr>
          <w:rFonts w:ascii="Times New Roman" w:hAnsi="Times New Roman" w:cs="Times New Roman"/>
          <w:color w:val="000000" w:themeColor="text1"/>
        </w:rPr>
        <w:t>Recital</w:t>
      </w:r>
      <w:r w:rsidR="00F6456B" w:rsidRPr="00765CB8">
        <w:rPr>
          <w:rFonts w:ascii="Times New Roman" w:hAnsi="Times New Roman" w:cs="Times New Roman"/>
          <w:color w:val="000000" w:themeColor="text1"/>
        </w:rPr>
        <w:t xml:space="preserve"> 38 to the Regulation which explains why the testator’s choice of the applicable law is limited to the law of his or her natio</w:t>
      </w:r>
      <w:r w:rsidR="00601817" w:rsidRPr="00765CB8">
        <w:rPr>
          <w:rFonts w:ascii="Times New Roman" w:hAnsi="Times New Roman" w:cs="Times New Roman"/>
          <w:color w:val="000000" w:themeColor="text1"/>
        </w:rPr>
        <w:t xml:space="preserve">nality in the following terms: </w:t>
      </w:r>
      <w:r w:rsidR="008B632F">
        <w:rPr>
          <w:rFonts w:ascii="Times New Roman" w:hAnsi="Times New Roman" w:cs="Times New Roman"/>
          <w:color w:val="000000" w:themeColor="text1"/>
        </w:rPr>
        <w:t>‘</w:t>
      </w:r>
      <w:r w:rsidR="00F6456B" w:rsidRPr="00765CB8">
        <w:rPr>
          <w:rFonts w:ascii="Times New Roman" w:hAnsi="Times New Roman" w:cs="Times New Roman"/>
          <w:color w:val="000000" w:themeColor="text1"/>
        </w:rPr>
        <w:t>in order to ensure a connection between the deceased and the law chosen and to avoid a law being chosen with the intention of frustrating the legitimate expectations of person</w:t>
      </w:r>
      <w:r w:rsidR="00E34736">
        <w:rPr>
          <w:rFonts w:ascii="Times New Roman" w:hAnsi="Times New Roman" w:cs="Times New Roman"/>
          <w:color w:val="000000" w:themeColor="text1"/>
        </w:rPr>
        <w:t>s entitled to a reserved share</w:t>
      </w:r>
      <w:r w:rsidR="008B632F">
        <w:rPr>
          <w:rFonts w:ascii="Times New Roman" w:hAnsi="Times New Roman" w:cs="Times New Roman"/>
          <w:color w:val="000000" w:themeColor="text1"/>
        </w:rPr>
        <w:t>’</w:t>
      </w:r>
      <w:r w:rsidR="00E34736">
        <w:rPr>
          <w:rFonts w:ascii="Times New Roman" w:hAnsi="Times New Roman" w:cs="Times New Roman"/>
          <w:color w:val="000000" w:themeColor="text1"/>
        </w:rPr>
        <w:t>.</w:t>
      </w:r>
      <w:r w:rsidR="00F6456B" w:rsidRPr="00765CB8">
        <w:rPr>
          <w:rFonts w:ascii="Times New Roman" w:hAnsi="Times New Roman" w:cs="Times New Roman"/>
          <w:color w:val="000000" w:themeColor="text1"/>
        </w:rPr>
        <w:t xml:space="preserve"> The last</w:t>
      </w:r>
      <w:r w:rsidR="00A37A84">
        <w:rPr>
          <w:rFonts w:ascii="Times New Roman" w:hAnsi="Times New Roman" w:cs="Times New Roman"/>
          <w:color w:val="000000" w:themeColor="text1"/>
        </w:rPr>
        <w:t>-</w:t>
      </w:r>
      <w:r w:rsidR="00F6456B" w:rsidRPr="00765CB8">
        <w:rPr>
          <w:rFonts w:ascii="Times New Roman" w:hAnsi="Times New Roman" w:cs="Times New Roman"/>
          <w:color w:val="000000" w:themeColor="text1"/>
        </w:rPr>
        <w:t>mentioned policy of avoiding the choice of a law that would frustrate the legitimate expectations of persons entitled to a reserved share could occur where a UK national with a strong connection to Scotland were to choose English</w:t>
      </w:r>
      <w:r w:rsidR="00601817" w:rsidRPr="00765CB8">
        <w:rPr>
          <w:rFonts w:ascii="Times New Roman" w:hAnsi="Times New Roman" w:cs="Times New Roman"/>
          <w:color w:val="000000" w:themeColor="text1"/>
        </w:rPr>
        <w:t xml:space="preserve"> or Northern Irish</w:t>
      </w:r>
      <w:r w:rsidR="00F6456B" w:rsidRPr="00765CB8">
        <w:rPr>
          <w:rFonts w:ascii="Times New Roman" w:hAnsi="Times New Roman" w:cs="Times New Roman"/>
          <w:color w:val="000000" w:themeColor="text1"/>
        </w:rPr>
        <w:t xml:space="preserve"> law to govern his or her estate </w:t>
      </w:r>
      <w:proofErr w:type="gramStart"/>
      <w:r w:rsidR="00F6456B" w:rsidRPr="00765CB8">
        <w:rPr>
          <w:rFonts w:ascii="Times New Roman" w:hAnsi="Times New Roman" w:cs="Times New Roman"/>
          <w:color w:val="000000" w:themeColor="text1"/>
        </w:rPr>
        <w:t>in order to</w:t>
      </w:r>
      <w:proofErr w:type="gramEnd"/>
      <w:r w:rsidR="00F6456B" w:rsidRPr="00765CB8">
        <w:rPr>
          <w:rFonts w:ascii="Times New Roman" w:hAnsi="Times New Roman" w:cs="Times New Roman"/>
          <w:color w:val="000000" w:themeColor="text1"/>
        </w:rPr>
        <w:t xml:space="preserve"> avoid the reserved shares given by Scots law to </w:t>
      </w:r>
      <w:r w:rsidR="00F66345">
        <w:rPr>
          <w:rFonts w:ascii="Times New Roman" w:hAnsi="Times New Roman" w:cs="Times New Roman"/>
          <w:color w:val="000000" w:themeColor="text1"/>
        </w:rPr>
        <w:t>spouses</w:t>
      </w:r>
      <w:r w:rsidR="008800B6">
        <w:rPr>
          <w:rFonts w:ascii="Times New Roman" w:hAnsi="Times New Roman" w:cs="Times New Roman"/>
          <w:color w:val="000000" w:themeColor="text1"/>
        </w:rPr>
        <w:t>, civil partners</w:t>
      </w:r>
      <w:r w:rsidR="00F6456B" w:rsidRPr="00765CB8">
        <w:rPr>
          <w:rFonts w:ascii="Times New Roman" w:hAnsi="Times New Roman" w:cs="Times New Roman"/>
          <w:color w:val="000000" w:themeColor="text1"/>
        </w:rPr>
        <w:t xml:space="preserve"> and children</w:t>
      </w:r>
      <w:r w:rsidR="00540572" w:rsidRPr="00765CB8">
        <w:rPr>
          <w:rFonts w:ascii="Times New Roman" w:hAnsi="Times New Roman" w:cs="Times New Roman"/>
          <w:color w:val="000000" w:themeColor="text1"/>
        </w:rPr>
        <w:t>.</w:t>
      </w:r>
      <w:r w:rsidR="00F23E47">
        <w:rPr>
          <w:rFonts w:ascii="Times New Roman" w:hAnsi="Times New Roman" w:cs="Times New Roman"/>
          <w:color w:val="000000" w:themeColor="text1"/>
        </w:rPr>
        <w:t xml:space="preserve"> </w:t>
      </w:r>
      <w:r w:rsidR="00540572" w:rsidRPr="00765CB8">
        <w:rPr>
          <w:rFonts w:ascii="Times New Roman" w:hAnsi="Times New Roman" w:cs="Times New Roman"/>
          <w:color w:val="000000" w:themeColor="text1"/>
        </w:rPr>
        <w:t>A testator with a strong connection to England and Wales or Northern Ireland by choosing Scots law to govern their succession would not frustrate the legitimate expecta</w:t>
      </w:r>
      <w:r w:rsidR="00601817" w:rsidRPr="00765CB8">
        <w:rPr>
          <w:rFonts w:ascii="Times New Roman" w:hAnsi="Times New Roman" w:cs="Times New Roman"/>
          <w:color w:val="000000" w:themeColor="text1"/>
        </w:rPr>
        <w:t>tions of persons entitled to a ‘reserved share’</w:t>
      </w:r>
      <w:r w:rsidR="00540572" w:rsidRPr="00765CB8">
        <w:rPr>
          <w:rFonts w:ascii="Times New Roman" w:hAnsi="Times New Roman" w:cs="Times New Roman"/>
          <w:color w:val="000000" w:themeColor="text1"/>
        </w:rPr>
        <w:t xml:space="preserve"> because no such shares exist. However, if the policy behind the </w:t>
      </w:r>
      <w:r w:rsidR="00F839C6" w:rsidRPr="00765CB8">
        <w:rPr>
          <w:rFonts w:ascii="Times New Roman" w:hAnsi="Times New Roman" w:cs="Times New Roman"/>
          <w:color w:val="000000" w:themeColor="text1"/>
        </w:rPr>
        <w:t>Recital</w:t>
      </w:r>
      <w:r w:rsidR="00540572" w:rsidRPr="00765CB8">
        <w:rPr>
          <w:rFonts w:ascii="Times New Roman" w:hAnsi="Times New Roman" w:cs="Times New Roman"/>
          <w:color w:val="000000" w:themeColor="text1"/>
        </w:rPr>
        <w:t xml:space="preserve"> is stretched to others with legitimate expectations to benefit from an </w:t>
      </w:r>
      <w:proofErr w:type="gramStart"/>
      <w:r w:rsidR="00540572" w:rsidRPr="00765CB8">
        <w:rPr>
          <w:rFonts w:ascii="Times New Roman" w:hAnsi="Times New Roman" w:cs="Times New Roman"/>
          <w:color w:val="000000" w:themeColor="text1"/>
        </w:rPr>
        <w:t>estate</w:t>
      </w:r>
      <w:proofErr w:type="gramEnd"/>
      <w:r w:rsidR="00540572" w:rsidRPr="00765CB8">
        <w:rPr>
          <w:rFonts w:ascii="Times New Roman" w:hAnsi="Times New Roman" w:cs="Times New Roman"/>
          <w:color w:val="000000" w:themeColor="text1"/>
        </w:rPr>
        <w:t xml:space="preserve"> then the choice of Scots law could deprive adult depend</w:t>
      </w:r>
      <w:r w:rsidR="00A37A84">
        <w:rPr>
          <w:rFonts w:ascii="Times New Roman" w:hAnsi="Times New Roman" w:cs="Times New Roman"/>
          <w:color w:val="000000" w:themeColor="text1"/>
        </w:rPr>
        <w:t>a</w:t>
      </w:r>
      <w:r w:rsidR="00540572" w:rsidRPr="00765CB8">
        <w:rPr>
          <w:rFonts w:ascii="Times New Roman" w:hAnsi="Times New Roman" w:cs="Times New Roman"/>
          <w:color w:val="000000" w:themeColor="text1"/>
        </w:rPr>
        <w:t xml:space="preserve">nts in England </w:t>
      </w:r>
      <w:r w:rsidR="00601817" w:rsidRPr="00765CB8">
        <w:rPr>
          <w:rFonts w:ascii="Times New Roman" w:hAnsi="Times New Roman" w:cs="Times New Roman"/>
          <w:color w:val="000000" w:themeColor="text1"/>
        </w:rPr>
        <w:t xml:space="preserve">and Wales or Northern Ireland </w:t>
      </w:r>
      <w:r w:rsidR="00540572" w:rsidRPr="00765CB8">
        <w:rPr>
          <w:rFonts w:ascii="Times New Roman" w:hAnsi="Times New Roman" w:cs="Times New Roman"/>
          <w:color w:val="000000" w:themeColor="text1"/>
        </w:rPr>
        <w:t xml:space="preserve">of significant claims that they would be entitled to make against an English </w:t>
      </w:r>
      <w:r w:rsidR="00A24BAC" w:rsidRPr="00765CB8">
        <w:rPr>
          <w:rFonts w:ascii="Times New Roman" w:hAnsi="Times New Roman" w:cs="Times New Roman"/>
          <w:color w:val="000000" w:themeColor="text1"/>
        </w:rPr>
        <w:t xml:space="preserve">and Welsh or Northern Irish </w:t>
      </w:r>
      <w:r w:rsidR="00540572" w:rsidRPr="00765CB8">
        <w:rPr>
          <w:rFonts w:ascii="Times New Roman" w:hAnsi="Times New Roman" w:cs="Times New Roman"/>
          <w:color w:val="000000" w:themeColor="text1"/>
        </w:rPr>
        <w:t>estate of the testator.</w:t>
      </w:r>
      <w:r w:rsidR="00540572" w:rsidRPr="00765CB8">
        <w:rPr>
          <w:rStyle w:val="FootnoteReference"/>
          <w:rFonts w:ascii="Times New Roman" w:hAnsi="Times New Roman" w:cs="Times New Roman"/>
          <w:color w:val="000000" w:themeColor="text1"/>
        </w:rPr>
        <w:footnoteReference w:id="24"/>
      </w:r>
    </w:p>
    <w:p w14:paraId="4934ACEB" w14:textId="77777777" w:rsidR="00BE4200" w:rsidRPr="00765CB8" w:rsidRDefault="00BE4200" w:rsidP="00765CB8">
      <w:pPr>
        <w:jc w:val="both"/>
        <w:rPr>
          <w:rFonts w:ascii="Times New Roman" w:hAnsi="Times New Roman" w:cs="Times New Roman"/>
          <w:color w:val="000000" w:themeColor="text1"/>
        </w:rPr>
      </w:pPr>
    </w:p>
    <w:p w14:paraId="04DA91EF" w14:textId="10B766D7" w:rsidR="005C462A" w:rsidRDefault="00FF01B3"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On the other </w:t>
      </w:r>
      <w:r w:rsidR="00520609" w:rsidRPr="00765CB8">
        <w:rPr>
          <w:rFonts w:ascii="Times New Roman" w:hAnsi="Times New Roman" w:cs="Times New Roman"/>
          <w:color w:val="000000" w:themeColor="text1"/>
        </w:rPr>
        <w:t>hand,</w:t>
      </w:r>
      <w:r w:rsidRPr="00765CB8">
        <w:rPr>
          <w:rFonts w:ascii="Times New Roman" w:hAnsi="Times New Roman" w:cs="Times New Roman"/>
          <w:color w:val="000000" w:themeColor="text1"/>
        </w:rPr>
        <w:t xml:space="preserve"> there is a lot to be said for the decision maker in the participating Member State presuming that where a UK national testator has expressly chosen Scots law to govern his or her succession that Scotland is the territorial unit with which the deceased had the closest connection.</w:t>
      </w:r>
      <w:r w:rsidR="00F23E47">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This presumption can be based on the policy of the Regu</w:t>
      </w:r>
      <w:r w:rsidR="00F6456B" w:rsidRPr="00765CB8">
        <w:rPr>
          <w:rFonts w:ascii="Times New Roman" w:hAnsi="Times New Roman" w:cs="Times New Roman"/>
          <w:color w:val="000000" w:themeColor="text1"/>
        </w:rPr>
        <w:t>l</w:t>
      </w:r>
      <w:r w:rsidRPr="00765CB8">
        <w:rPr>
          <w:rFonts w:ascii="Times New Roman" w:hAnsi="Times New Roman" w:cs="Times New Roman"/>
          <w:color w:val="000000" w:themeColor="text1"/>
        </w:rPr>
        <w:t>ation favouring the party autonomy of the testator to choose any law of which he or she holds nationality.</w:t>
      </w:r>
      <w:r w:rsidR="00F23E47">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Article 22</w:t>
      </w:r>
      <w:r w:rsidR="00F6456B" w:rsidRPr="00765CB8">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of the Regu</w:t>
      </w:r>
      <w:r w:rsidR="00F6456B" w:rsidRPr="00765CB8">
        <w:rPr>
          <w:rFonts w:ascii="Times New Roman" w:hAnsi="Times New Roman" w:cs="Times New Roman"/>
          <w:color w:val="000000" w:themeColor="text1"/>
        </w:rPr>
        <w:t>l</w:t>
      </w:r>
      <w:r w:rsidRPr="00765CB8">
        <w:rPr>
          <w:rFonts w:ascii="Times New Roman" w:hAnsi="Times New Roman" w:cs="Times New Roman"/>
          <w:color w:val="000000" w:themeColor="text1"/>
        </w:rPr>
        <w:t>a</w:t>
      </w:r>
      <w:r w:rsidR="00F6456B" w:rsidRPr="00765CB8">
        <w:rPr>
          <w:rFonts w:ascii="Times New Roman" w:hAnsi="Times New Roman" w:cs="Times New Roman"/>
          <w:color w:val="000000" w:themeColor="text1"/>
        </w:rPr>
        <w:t>tion does</w:t>
      </w:r>
      <w:r w:rsidRPr="00765CB8">
        <w:rPr>
          <w:rFonts w:ascii="Times New Roman" w:hAnsi="Times New Roman" w:cs="Times New Roman"/>
          <w:color w:val="000000" w:themeColor="text1"/>
        </w:rPr>
        <w:t xml:space="preserve"> not restrict the choice of </w:t>
      </w:r>
      <w:r w:rsidRPr="00765CB8">
        <w:rPr>
          <w:rFonts w:ascii="Times New Roman" w:hAnsi="Times New Roman" w:cs="Times New Roman"/>
          <w:color w:val="000000" w:themeColor="text1"/>
        </w:rPr>
        <w:lastRenderedPageBreak/>
        <w:t xml:space="preserve">testators with more than one nationality to the law of the nationality with which he </w:t>
      </w:r>
      <w:r w:rsidR="00F6456B" w:rsidRPr="00765CB8">
        <w:rPr>
          <w:rFonts w:ascii="Times New Roman" w:hAnsi="Times New Roman" w:cs="Times New Roman"/>
          <w:color w:val="000000" w:themeColor="text1"/>
        </w:rPr>
        <w:t xml:space="preserve">or she </w:t>
      </w:r>
      <w:r w:rsidRPr="00765CB8">
        <w:rPr>
          <w:rFonts w:ascii="Times New Roman" w:hAnsi="Times New Roman" w:cs="Times New Roman"/>
          <w:color w:val="000000" w:themeColor="text1"/>
        </w:rPr>
        <w:t>had the closest connection</w:t>
      </w:r>
      <w:r w:rsidR="00F6456B" w:rsidRPr="00765CB8">
        <w:rPr>
          <w:rFonts w:ascii="Times New Roman" w:hAnsi="Times New Roman" w:cs="Times New Roman"/>
          <w:color w:val="000000" w:themeColor="text1"/>
        </w:rPr>
        <w:t>.</w:t>
      </w:r>
      <w:r w:rsidR="00F23E47">
        <w:rPr>
          <w:rFonts w:ascii="Times New Roman" w:hAnsi="Times New Roman" w:cs="Times New Roman"/>
          <w:color w:val="000000" w:themeColor="text1"/>
        </w:rPr>
        <w:t xml:space="preserve"> </w:t>
      </w:r>
      <w:r w:rsidR="00CD60CB" w:rsidRPr="00765CB8">
        <w:rPr>
          <w:rFonts w:ascii="Times New Roman" w:hAnsi="Times New Roman" w:cs="Times New Roman"/>
          <w:color w:val="000000" w:themeColor="text1"/>
        </w:rPr>
        <w:t>It can al</w:t>
      </w:r>
      <w:r w:rsidR="00886FFF" w:rsidRPr="00765CB8">
        <w:rPr>
          <w:rFonts w:ascii="Times New Roman" w:hAnsi="Times New Roman" w:cs="Times New Roman"/>
          <w:color w:val="000000" w:themeColor="text1"/>
        </w:rPr>
        <w:t xml:space="preserve">so be argued that such a presumption would help to meet the goal established by </w:t>
      </w:r>
      <w:r w:rsidR="00F839C6" w:rsidRPr="00765CB8">
        <w:rPr>
          <w:rFonts w:ascii="Times New Roman" w:hAnsi="Times New Roman" w:cs="Times New Roman"/>
          <w:color w:val="000000" w:themeColor="text1"/>
        </w:rPr>
        <w:t>Recital</w:t>
      </w:r>
      <w:r w:rsidR="00886FFF" w:rsidRPr="00765CB8">
        <w:rPr>
          <w:rFonts w:ascii="Times New Roman" w:hAnsi="Times New Roman" w:cs="Times New Roman"/>
          <w:color w:val="000000" w:themeColor="text1"/>
        </w:rPr>
        <w:t xml:space="preserve"> 38</w:t>
      </w:r>
      <w:r w:rsidRPr="00765CB8">
        <w:rPr>
          <w:rFonts w:ascii="Times New Roman" w:hAnsi="Times New Roman" w:cs="Times New Roman"/>
          <w:color w:val="000000" w:themeColor="text1"/>
        </w:rPr>
        <w:t xml:space="preserve"> </w:t>
      </w:r>
      <w:r w:rsidR="00886FFF" w:rsidRPr="00765CB8">
        <w:rPr>
          <w:rFonts w:ascii="Times New Roman" w:hAnsi="Times New Roman" w:cs="Times New Roman"/>
          <w:color w:val="000000" w:themeColor="text1"/>
        </w:rPr>
        <w:t>to the Regula</w:t>
      </w:r>
      <w:r w:rsidR="00A24BAC" w:rsidRPr="00765CB8">
        <w:rPr>
          <w:rFonts w:ascii="Times New Roman" w:hAnsi="Times New Roman" w:cs="Times New Roman"/>
          <w:color w:val="000000" w:themeColor="text1"/>
        </w:rPr>
        <w:t xml:space="preserve">tion which provides that: </w:t>
      </w:r>
      <w:r w:rsidR="008B632F">
        <w:rPr>
          <w:rFonts w:ascii="Times New Roman" w:hAnsi="Times New Roman" w:cs="Times New Roman"/>
          <w:color w:val="000000" w:themeColor="text1"/>
        </w:rPr>
        <w:t>‘</w:t>
      </w:r>
      <w:r w:rsidR="00886FFF" w:rsidRPr="00765CB8">
        <w:rPr>
          <w:rFonts w:ascii="Times New Roman" w:hAnsi="Times New Roman" w:cs="Times New Roman"/>
          <w:color w:val="000000" w:themeColor="text1"/>
        </w:rPr>
        <w:t>This Regulation should enable citizens to organise their succession in advance by choosing the law applicable to their succession.</w:t>
      </w:r>
      <w:r w:rsidR="00F23E47">
        <w:rPr>
          <w:rFonts w:ascii="Times New Roman" w:hAnsi="Times New Roman" w:cs="Times New Roman"/>
          <w:color w:val="000000" w:themeColor="text1"/>
        </w:rPr>
        <w:t xml:space="preserve"> </w:t>
      </w:r>
      <w:r w:rsidR="00886FFF" w:rsidRPr="00765CB8">
        <w:rPr>
          <w:rFonts w:ascii="Times New Roman" w:hAnsi="Times New Roman" w:cs="Times New Roman"/>
          <w:color w:val="000000" w:themeColor="text1"/>
        </w:rPr>
        <w:t xml:space="preserve">That choice should be limited to the law of </w:t>
      </w:r>
      <w:r w:rsidR="008A3486" w:rsidRPr="00765CB8">
        <w:rPr>
          <w:rFonts w:ascii="Times New Roman" w:hAnsi="Times New Roman" w:cs="Times New Roman"/>
          <w:color w:val="000000" w:themeColor="text1"/>
        </w:rPr>
        <w:t>a</w:t>
      </w:r>
      <w:r w:rsidR="00A24BAC" w:rsidRPr="00765CB8">
        <w:rPr>
          <w:rFonts w:ascii="Times New Roman" w:hAnsi="Times New Roman" w:cs="Times New Roman"/>
          <w:color w:val="000000" w:themeColor="text1"/>
        </w:rPr>
        <w:t xml:space="preserve"> State of their nationality</w:t>
      </w:r>
      <w:r w:rsidR="008B632F">
        <w:rPr>
          <w:rFonts w:ascii="Times New Roman" w:hAnsi="Times New Roman" w:cs="Times New Roman"/>
          <w:color w:val="000000" w:themeColor="text1"/>
        </w:rPr>
        <w:t>’</w:t>
      </w:r>
      <w:r w:rsidR="00886FFF" w:rsidRPr="00765CB8">
        <w:rPr>
          <w:rFonts w:ascii="Times New Roman" w:hAnsi="Times New Roman" w:cs="Times New Roman"/>
          <w:color w:val="000000" w:themeColor="text1"/>
        </w:rPr>
        <w:t>. A testator should be able to organise his or her succession in advance.</w:t>
      </w:r>
      <w:r w:rsidR="00F23E47">
        <w:rPr>
          <w:rFonts w:ascii="Times New Roman" w:hAnsi="Times New Roman" w:cs="Times New Roman"/>
          <w:color w:val="000000" w:themeColor="text1"/>
        </w:rPr>
        <w:t xml:space="preserve"> </w:t>
      </w:r>
      <w:r w:rsidR="00886FFF" w:rsidRPr="00765CB8">
        <w:rPr>
          <w:rFonts w:ascii="Times New Roman" w:hAnsi="Times New Roman" w:cs="Times New Roman"/>
          <w:color w:val="000000" w:themeColor="text1"/>
        </w:rPr>
        <w:t xml:space="preserve">Any </w:t>
      </w:r>
      <w:r w:rsidR="008A3486" w:rsidRPr="00765CB8">
        <w:rPr>
          <w:rFonts w:ascii="Times New Roman" w:hAnsi="Times New Roman" w:cs="Times New Roman"/>
          <w:color w:val="000000" w:themeColor="text1"/>
        </w:rPr>
        <w:t xml:space="preserve">UK national </w:t>
      </w:r>
      <w:r w:rsidR="00886FFF" w:rsidRPr="00765CB8">
        <w:rPr>
          <w:rFonts w:ascii="Times New Roman" w:hAnsi="Times New Roman" w:cs="Times New Roman"/>
          <w:color w:val="000000" w:themeColor="text1"/>
        </w:rPr>
        <w:t xml:space="preserve">testator </w:t>
      </w:r>
      <w:r w:rsidR="008A3486" w:rsidRPr="00765CB8">
        <w:rPr>
          <w:rFonts w:ascii="Times New Roman" w:hAnsi="Times New Roman" w:cs="Times New Roman"/>
          <w:color w:val="000000" w:themeColor="text1"/>
        </w:rPr>
        <w:t>with</w:t>
      </w:r>
      <w:r w:rsidR="00886FFF" w:rsidRPr="00765CB8">
        <w:rPr>
          <w:rFonts w:ascii="Times New Roman" w:hAnsi="Times New Roman" w:cs="Times New Roman"/>
          <w:color w:val="000000" w:themeColor="text1"/>
        </w:rPr>
        <w:t xml:space="preserve"> connections with a participating Member State to the Succession Regulation should be able to organise </w:t>
      </w:r>
      <w:r w:rsidR="008A3486" w:rsidRPr="00765CB8">
        <w:rPr>
          <w:rFonts w:ascii="Times New Roman" w:hAnsi="Times New Roman" w:cs="Times New Roman"/>
          <w:color w:val="000000" w:themeColor="text1"/>
        </w:rPr>
        <w:t>his or her</w:t>
      </w:r>
      <w:r w:rsidR="00886FFF" w:rsidRPr="00765CB8">
        <w:rPr>
          <w:rFonts w:ascii="Times New Roman" w:hAnsi="Times New Roman" w:cs="Times New Roman"/>
          <w:color w:val="000000" w:themeColor="text1"/>
        </w:rPr>
        <w:t xml:space="preserve"> affairs in advance by choosing the law of </w:t>
      </w:r>
      <w:r w:rsidR="008A3486" w:rsidRPr="00765CB8">
        <w:rPr>
          <w:rFonts w:ascii="Times New Roman" w:hAnsi="Times New Roman" w:cs="Times New Roman"/>
          <w:color w:val="000000" w:themeColor="text1"/>
        </w:rPr>
        <w:t>his or her</w:t>
      </w:r>
      <w:r w:rsidR="00886FFF" w:rsidRPr="00765CB8">
        <w:rPr>
          <w:rFonts w:ascii="Times New Roman" w:hAnsi="Times New Roman" w:cs="Times New Roman"/>
          <w:color w:val="000000" w:themeColor="text1"/>
        </w:rPr>
        <w:t xml:space="preserve"> nationality to govern </w:t>
      </w:r>
      <w:r w:rsidR="008A3486" w:rsidRPr="00765CB8">
        <w:rPr>
          <w:rFonts w:ascii="Times New Roman" w:hAnsi="Times New Roman" w:cs="Times New Roman"/>
          <w:color w:val="000000" w:themeColor="text1"/>
        </w:rPr>
        <w:t>his or her</w:t>
      </w:r>
      <w:r w:rsidR="00886FFF" w:rsidRPr="00765CB8">
        <w:rPr>
          <w:rFonts w:ascii="Times New Roman" w:hAnsi="Times New Roman" w:cs="Times New Roman"/>
          <w:color w:val="000000" w:themeColor="text1"/>
        </w:rPr>
        <w:t xml:space="preserve"> succession. </w:t>
      </w:r>
      <w:r w:rsidR="001E449F" w:rsidRPr="00765CB8">
        <w:rPr>
          <w:rFonts w:ascii="Times New Roman" w:hAnsi="Times New Roman" w:cs="Times New Roman"/>
          <w:color w:val="000000" w:themeColor="text1"/>
        </w:rPr>
        <w:t>C</w:t>
      </w:r>
      <w:r w:rsidR="00886FFF" w:rsidRPr="00765CB8">
        <w:rPr>
          <w:rFonts w:ascii="Times New Roman" w:hAnsi="Times New Roman" w:cs="Times New Roman"/>
          <w:color w:val="000000" w:themeColor="text1"/>
        </w:rPr>
        <w:t>reating a presumption that the law of the part of the UK chosen by the testator is the part of the UK with which the testator has the closest connection facilitate</w:t>
      </w:r>
      <w:r w:rsidR="001E449F" w:rsidRPr="00765CB8">
        <w:rPr>
          <w:rFonts w:ascii="Times New Roman" w:hAnsi="Times New Roman" w:cs="Times New Roman"/>
          <w:color w:val="000000" w:themeColor="text1"/>
        </w:rPr>
        <w:t>s</w:t>
      </w:r>
      <w:r w:rsidR="00886FFF" w:rsidRPr="00765CB8">
        <w:rPr>
          <w:rFonts w:ascii="Times New Roman" w:hAnsi="Times New Roman" w:cs="Times New Roman"/>
          <w:color w:val="000000" w:themeColor="text1"/>
        </w:rPr>
        <w:t xml:space="preserve"> the testator being more certain that his </w:t>
      </w:r>
      <w:r w:rsidR="008A3486" w:rsidRPr="00765CB8">
        <w:rPr>
          <w:rFonts w:ascii="Times New Roman" w:hAnsi="Times New Roman" w:cs="Times New Roman"/>
          <w:color w:val="000000" w:themeColor="text1"/>
        </w:rPr>
        <w:t xml:space="preserve">or her </w:t>
      </w:r>
      <w:r w:rsidR="00886FFF" w:rsidRPr="00765CB8">
        <w:rPr>
          <w:rFonts w:ascii="Times New Roman" w:hAnsi="Times New Roman" w:cs="Times New Roman"/>
          <w:color w:val="000000" w:themeColor="text1"/>
        </w:rPr>
        <w:t xml:space="preserve">choice of </w:t>
      </w:r>
      <w:r w:rsidR="001E449F" w:rsidRPr="00765CB8">
        <w:rPr>
          <w:rFonts w:ascii="Times New Roman" w:hAnsi="Times New Roman" w:cs="Times New Roman"/>
          <w:color w:val="000000" w:themeColor="text1"/>
        </w:rPr>
        <w:t xml:space="preserve">the law of </w:t>
      </w:r>
      <w:r w:rsidR="00886FFF" w:rsidRPr="00765CB8">
        <w:rPr>
          <w:rFonts w:ascii="Times New Roman" w:hAnsi="Times New Roman" w:cs="Times New Roman"/>
          <w:color w:val="000000" w:themeColor="text1"/>
        </w:rPr>
        <w:t>one part of the UK</w:t>
      </w:r>
      <w:r w:rsidR="008A3486" w:rsidRPr="00765CB8">
        <w:rPr>
          <w:rFonts w:ascii="Times New Roman" w:hAnsi="Times New Roman" w:cs="Times New Roman"/>
          <w:color w:val="000000" w:themeColor="text1"/>
        </w:rPr>
        <w:t xml:space="preserve"> </w:t>
      </w:r>
      <w:r w:rsidR="00886FFF" w:rsidRPr="00765CB8">
        <w:rPr>
          <w:rFonts w:ascii="Times New Roman" w:hAnsi="Times New Roman" w:cs="Times New Roman"/>
          <w:color w:val="000000" w:themeColor="text1"/>
        </w:rPr>
        <w:t>with which he</w:t>
      </w:r>
      <w:r w:rsidR="008A3486" w:rsidRPr="00765CB8">
        <w:rPr>
          <w:rFonts w:ascii="Times New Roman" w:hAnsi="Times New Roman" w:cs="Times New Roman"/>
          <w:color w:val="000000" w:themeColor="text1"/>
        </w:rPr>
        <w:t xml:space="preserve"> or she</w:t>
      </w:r>
      <w:r w:rsidR="00886FFF" w:rsidRPr="00765CB8">
        <w:rPr>
          <w:rFonts w:ascii="Times New Roman" w:hAnsi="Times New Roman" w:cs="Times New Roman"/>
          <w:color w:val="000000" w:themeColor="text1"/>
        </w:rPr>
        <w:t xml:space="preserve"> has a connection will be upheld</w:t>
      </w:r>
      <w:r w:rsidR="008A3486" w:rsidRPr="00765CB8">
        <w:rPr>
          <w:rFonts w:ascii="Times New Roman" w:hAnsi="Times New Roman" w:cs="Times New Roman"/>
          <w:color w:val="000000" w:themeColor="text1"/>
        </w:rPr>
        <w:t>.</w:t>
      </w:r>
      <w:r w:rsidR="00F23E47">
        <w:rPr>
          <w:rFonts w:ascii="Times New Roman" w:hAnsi="Times New Roman" w:cs="Times New Roman"/>
          <w:color w:val="000000" w:themeColor="text1"/>
        </w:rPr>
        <w:t xml:space="preserve"> </w:t>
      </w:r>
      <w:r w:rsidR="008A3486" w:rsidRPr="00765CB8">
        <w:rPr>
          <w:rFonts w:ascii="Times New Roman" w:hAnsi="Times New Roman" w:cs="Times New Roman"/>
          <w:color w:val="000000" w:themeColor="text1"/>
        </w:rPr>
        <w:t>The testator is not given too much freedom to choose the law governing his or her estate because a presumption that he or she has the closest connection with the part of the UK that he or she has chosen its law to govern his or her succession can be very easily rebutted when he or she has very little connection with that part and a much more significant connect</w:t>
      </w:r>
      <w:r w:rsidR="00BE4200">
        <w:rPr>
          <w:rFonts w:ascii="Times New Roman" w:hAnsi="Times New Roman" w:cs="Times New Roman"/>
          <w:color w:val="000000" w:themeColor="text1"/>
        </w:rPr>
        <w:t xml:space="preserve">ion with another part of the UK. </w:t>
      </w:r>
      <w:r w:rsidR="001E449F" w:rsidRPr="00765CB8">
        <w:rPr>
          <w:rFonts w:ascii="Times New Roman" w:hAnsi="Times New Roman" w:cs="Times New Roman"/>
          <w:color w:val="000000" w:themeColor="text1"/>
        </w:rPr>
        <w:t>If the testator choose</w:t>
      </w:r>
      <w:r w:rsidR="00F66345">
        <w:rPr>
          <w:rFonts w:ascii="Times New Roman" w:hAnsi="Times New Roman" w:cs="Times New Roman"/>
          <w:color w:val="000000" w:themeColor="text1"/>
        </w:rPr>
        <w:t>s</w:t>
      </w:r>
      <w:r w:rsidR="001E449F" w:rsidRPr="00765CB8">
        <w:rPr>
          <w:rFonts w:ascii="Times New Roman" w:hAnsi="Times New Roman" w:cs="Times New Roman"/>
          <w:color w:val="000000" w:themeColor="text1"/>
        </w:rPr>
        <w:t xml:space="preserve"> the law of the UK to govern his or her </w:t>
      </w:r>
      <w:r w:rsidR="00520609" w:rsidRPr="00765CB8">
        <w:rPr>
          <w:rFonts w:ascii="Times New Roman" w:hAnsi="Times New Roman" w:cs="Times New Roman"/>
          <w:color w:val="000000" w:themeColor="text1"/>
        </w:rPr>
        <w:t>succession,</w:t>
      </w:r>
      <w:r w:rsidR="001E449F" w:rsidRPr="00765CB8">
        <w:rPr>
          <w:rFonts w:ascii="Times New Roman" w:hAnsi="Times New Roman" w:cs="Times New Roman"/>
          <w:color w:val="000000" w:themeColor="text1"/>
        </w:rPr>
        <w:t xml:space="preserve"> then he or she has not done due diligence in estate planning.</w:t>
      </w:r>
      <w:r w:rsidR="00F23E47">
        <w:rPr>
          <w:rFonts w:ascii="Times New Roman" w:hAnsi="Times New Roman" w:cs="Times New Roman"/>
          <w:color w:val="000000" w:themeColor="text1"/>
        </w:rPr>
        <w:t xml:space="preserve"> </w:t>
      </w:r>
      <w:r w:rsidR="001E449F" w:rsidRPr="00765CB8">
        <w:rPr>
          <w:rFonts w:ascii="Times New Roman" w:hAnsi="Times New Roman" w:cs="Times New Roman"/>
          <w:color w:val="000000" w:themeColor="text1"/>
        </w:rPr>
        <w:t>Therefore</w:t>
      </w:r>
      <w:r w:rsidR="00B91F54" w:rsidRPr="00765CB8">
        <w:rPr>
          <w:rFonts w:ascii="Times New Roman" w:hAnsi="Times New Roman" w:cs="Times New Roman"/>
          <w:color w:val="000000" w:themeColor="text1"/>
        </w:rPr>
        <w:t>,</w:t>
      </w:r>
      <w:r w:rsidR="001E449F" w:rsidRPr="00765CB8">
        <w:rPr>
          <w:rFonts w:ascii="Times New Roman" w:hAnsi="Times New Roman" w:cs="Times New Roman"/>
          <w:color w:val="000000" w:themeColor="text1"/>
        </w:rPr>
        <w:t xml:space="preserve"> the uncertainty that may be associated with a decision maker in a participating Member State having to dete</w:t>
      </w:r>
      <w:r w:rsidR="00A24BAC" w:rsidRPr="00765CB8">
        <w:rPr>
          <w:rFonts w:ascii="Times New Roman" w:hAnsi="Times New Roman" w:cs="Times New Roman"/>
          <w:color w:val="000000" w:themeColor="text1"/>
        </w:rPr>
        <w:t>rmine which part of the UK the ‘deceased’</w:t>
      </w:r>
      <w:r w:rsidR="001E449F" w:rsidRPr="00765CB8">
        <w:rPr>
          <w:rFonts w:ascii="Times New Roman" w:hAnsi="Times New Roman" w:cs="Times New Roman"/>
          <w:color w:val="000000" w:themeColor="text1"/>
        </w:rPr>
        <w:t xml:space="preserve"> had the closest connection </w:t>
      </w:r>
      <w:r w:rsidR="007F7B21" w:rsidRPr="00765CB8">
        <w:rPr>
          <w:rFonts w:ascii="Times New Roman" w:hAnsi="Times New Roman" w:cs="Times New Roman"/>
          <w:color w:val="000000" w:themeColor="text1"/>
        </w:rPr>
        <w:t xml:space="preserve">with </w:t>
      </w:r>
      <w:r w:rsidR="001E449F" w:rsidRPr="00765CB8">
        <w:rPr>
          <w:rFonts w:ascii="Times New Roman" w:hAnsi="Times New Roman" w:cs="Times New Roman"/>
          <w:color w:val="000000" w:themeColor="text1"/>
        </w:rPr>
        <w:t>cannot be avoided</w:t>
      </w:r>
      <w:r w:rsidR="007F7B21" w:rsidRPr="00765CB8">
        <w:rPr>
          <w:rFonts w:ascii="Times New Roman" w:hAnsi="Times New Roman" w:cs="Times New Roman"/>
          <w:color w:val="000000" w:themeColor="text1"/>
        </w:rPr>
        <w:t>.</w:t>
      </w:r>
    </w:p>
    <w:p w14:paraId="501D3A24" w14:textId="77777777" w:rsidR="00BE4200" w:rsidRPr="00765CB8" w:rsidRDefault="00BE4200" w:rsidP="00765CB8">
      <w:pPr>
        <w:jc w:val="both"/>
        <w:rPr>
          <w:rFonts w:ascii="Times New Roman" w:hAnsi="Times New Roman" w:cs="Times New Roman"/>
          <w:color w:val="000000" w:themeColor="text1"/>
        </w:rPr>
      </w:pPr>
    </w:p>
    <w:p w14:paraId="0C4C5963" w14:textId="085245E4" w:rsidR="005C462A" w:rsidRDefault="007F7B21"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Another issue</w:t>
      </w:r>
      <w:r w:rsidR="00A24BAC" w:rsidRPr="00765CB8">
        <w:rPr>
          <w:rFonts w:ascii="Times New Roman" w:hAnsi="Times New Roman" w:cs="Times New Roman"/>
          <w:color w:val="000000" w:themeColor="text1"/>
        </w:rPr>
        <w:t xml:space="preserve"> to be resolved is what is the ‘relevant time’</w:t>
      </w:r>
      <w:r w:rsidRPr="00765CB8">
        <w:rPr>
          <w:rFonts w:ascii="Times New Roman" w:hAnsi="Times New Roman" w:cs="Times New Roman"/>
          <w:color w:val="000000" w:themeColor="text1"/>
        </w:rPr>
        <w:t xml:space="preserve"> at wh</w:t>
      </w:r>
      <w:r w:rsidR="00A24BAC" w:rsidRPr="00765CB8">
        <w:rPr>
          <w:rFonts w:ascii="Times New Roman" w:hAnsi="Times New Roman" w:cs="Times New Roman"/>
          <w:color w:val="000000" w:themeColor="text1"/>
        </w:rPr>
        <w:t>ich the connection between the ‘deceased’</w:t>
      </w:r>
      <w:r w:rsidRPr="00765CB8">
        <w:rPr>
          <w:rFonts w:ascii="Times New Roman" w:hAnsi="Times New Roman" w:cs="Times New Roman"/>
          <w:color w:val="000000" w:themeColor="text1"/>
        </w:rPr>
        <w:t xml:space="preserve"> and the territorial unit in the UK with whic</w:t>
      </w:r>
      <w:r w:rsidR="00A24BAC" w:rsidRPr="00765CB8">
        <w:rPr>
          <w:rFonts w:ascii="Times New Roman" w:hAnsi="Times New Roman" w:cs="Times New Roman"/>
          <w:color w:val="000000" w:themeColor="text1"/>
        </w:rPr>
        <w:t>h he or she ‘had the closest connection</w:t>
      </w:r>
      <w:r w:rsidR="00E34736">
        <w:rPr>
          <w:rFonts w:ascii="Times New Roman" w:hAnsi="Times New Roman" w:cs="Times New Roman"/>
          <w:color w:val="000000" w:themeColor="text1"/>
        </w:rPr>
        <w:t>’</w:t>
      </w:r>
      <w:r w:rsidRPr="00765CB8">
        <w:rPr>
          <w:rFonts w:ascii="Times New Roman" w:hAnsi="Times New Roman" w:cs="Times New Roman"/>
          <w:color w:val="000000" w:themeColor="text1"/>
        </w:rPr>
        <w:t xml:space="preserve"> has to be determined?</w:t>
      </w:r>
      <w:r w:rsidR="00F23E47">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Is it the time when the deceased chose the law of his or her nationality to govern his or her succession or is it the time when the deceased died?</w:t>
      </w:r>
      <w:r w:rsidR="00F23E47">
        <w:rPr>
          <w:rFonts w:ascii="Times New Roman" w:hAnsi="Times New Roman" w:cs="Times New Roman"/>
          <w:color w:val="000000" w:themeColor="text1"/>
        </w:rPr>
        <w:t xml:space="preserve"> </w:t>
      </w:r>
      <w:r w:rsidR="00E80856" w:rsidRPr="00765CB8">
        <w:rPr>
          <w:rFonts w:ascii="Times New Roman" w:hAnsi="Times New Roman" w:cs="Times New Roman"/>
          <w:color w:val="000000" w:themeColor="text1"/>
        </w:rPr>
        <w:t xml:space="preserve">In order to uphold the policy in </w:t>
      </w:r>
      <w:r w:rsidR="00F839C6" w:rsidRPr="00765CB8">
        <w:rPr>
          <w:rFonts w:ascii="Times New Roman" w:hAnsi="Times New Roman" w:cs="Times New Roman"/>
          <w:color w:val="000000" w:themeColor="text1"/>
        </w:rPr>
        <w:t>Recital</w:t>
      </w:r>
      <w:r w:rsidR="00E80856" w:rsidRPr="00765CB8">
        <w:rPr>
          <w:rFonts w:ascii="Times New Roman" w:hAnsi="Times New Roman" w:cs="Times New Roman"/>
          <w:color w:val="000000" w:themeColor="text1"/>
        </w:rPr>
        <w:t xml:space="preserve"> 37 to the Regulation to enable citizens </w:t>
      </w:r>
      <w:r w:rsidR="008B632F">
        <w:rPr>
          <w:rFonts w:ascii="Times New Roman" w:hAnsi="Times New Roman" w:cs="Times New Roman"/>
          <w:color w:val="000000" w:themeColor="text1"/>
        </w:rPr>
        <w:t>‘</w:t>
      </w:r>
      <w:r w:rsidR="00E80856" w:rsidRPr="00765CB8">
        <w:rPr>
          <w:rFonts w:ascii="Times New Roman" w:hAnsi="Times New Roman" w:cs="Times New Roman"/>
          <w:color w:val="000000" w:themeColor="text1"/>
        </w:rPr>
        <w:t>to know in advance which law will apply to their succession</w:t>
      </w:r>
      <w:r w:rsidR="008B632F">
        <w:rPr>
          <w:rFonts w:ascii="Times New Roman" w:hAnsi="Times New Roman" w:cs="Times New Roman"/>
          <w:color w:val="000000" w:themeColor="text1"/>
        </w:rPr>
        <w:t>’</w:t>
      </w:r>
      <w:r w:rsidR="00E80856" w:rsidRPr="00765CB8">
        <w:rPr>
          <w:rFonts w:ascii="Times New Roman" w:hAnsi="Times New Roman" w:cs="Times New Roman"/>
          <w:color w:val="000000" w:themeColor="text1"/>
        </w:rPr>
        <w:t xml:space="preserve"> the relevant time should be construed as the time when the testator chose the law of his or her nationality to govern his or her succession.</w:t>
      </w:r>
      <w:r w:rsidR="00F23E47">
        <w:rPr>
          <w:rFonts w:ascii="Times New Roman" w:hAnsi="Times New Roman" w:cs="Times New Roman"/>
          <w:color w:val="000000" w:themeColor="text1"/>
        </w:rPr>
        <w:t xml:space="preserve"> </w:t>
      </w:r>
      <w:r w:rsidR="00E80856" w:rsidRPr="00765CB8">
        <w:rPr>
          <w:rFonts w:ascii="Times New Roman" w:hAnsi="Times New Roman" w:cs="Times New Roman"/>
          <w:color w:val="000000" w:themeColor="text1"/>
        </w:rPr>
        <w:t>The connection between the part of the UK and the deceased should be measured as it was at the time of the choice and not as it was a</w:t>
      </w:r>
      <w:r w:rsidR="00CD6BB6" w:rsidRPr="00765CB8">
        <w:rPr>
          <w:rFonts w:ascii="Times New Roman" w:hAnsi="Times New Roman" w:cs="Times New Roman"/>
          <w:color w:val="000000" w:themeColor="text1"/>
        </w:rPr>
        <w:t>t the time of his or her death as many years may separate these two dates and the testator’s connections with different parts of the UK may have changed dramatically.</w:t>
      </w:r>
      <w:r w:rsidR="00F23E47">
        <w:rPr>
          <w:rFonts w:ascii="Times New Roman" w:hAnsi="Times New Roman" w:cs="Times New Roman"/>
          <w:color w:val="000000" w:themeColor="text1"/>
        </w:rPr>
        <w:t xml:space="preserve"> </w:t>
      </w:r>
      <w:r w:rsidR="00CD6BB6" w:rsidRPr="00765CB8">
        <w:rPr>
          <w:rFonts w:ascii="Times New Roman" w:hAnsi="Times New Roman" w:cs="Times New Roman"/>
          <w:color w:val="000000" w:themeColor="text1"/>
        </w:rPr>
        <w:t>The only fair time to consider the connections between the testator and the different parts of the UK is the time of the choice.</w:t>
      </w:r>
      <w:r w:rsidR="00F23E47">
        <w:rPr>
          <w:rFonts w:ascii="Times New Roman" w:hAnsi="Times New Roman" w:cs="Times New Roman"/>
          <w:color w:val="000000" w:themeColor="text1"/>
        </w:rPr>
        <w:t xml:space="preserve"> </w:t>
      </w:r>
      <w:r w:rsidR="00CD6BB6" w:rsidRPr="00765CB8">
        <w:rPr>
          <w:rFonts w:ascii="Times New Roman" w:hAnsi="Times New Roman" w:cs="Times New Roman"/>
          <w:color w:val="000000" w:themeColor="text1"/>
        </w:rPr>
        <w:t>However, the matter is complicated by Article 22 of the Regulation giving the testator the power to make a future choice based on the law of his or her nationality at the time of death. Thus if the testator chooses UK law to govern his or her estate and at the time of making the choice he or she did not have UK nationality but did have such nationality by the time of his or her death then the relevant time to consider with which part of the UK he or she has the closest connection under Article 36(2)(b) of the Regulation is the time of the testator’s death.</w:t>
      </w:r>
    </w:p>
    <w:p w14:paraId="680DEA6D" w14:textId="77777777" w:rsidR="00BE4200" w:rsidRPr="00765CB8" w:rsidRDefault="00BE4200" w:rsidP="00765CB8">
      <w:pPr>
        <w:jc w:val="both"/>
        <w:rPr>
          <w:rFonts w:ascii="Times New Roman" w:hAnsi="Times New Roman" w:cs="Times New Roman"/>
          <w:color w:val="000000" w:themeColor="text1"/>
        </w:rPr>
      </w:pPr>
    </w:p>
    <w:p w14:paraId="78E75207" w14:textId="77777777" w:rsidR="005C462A" w:rsidRDefault="009A1DBD"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If the testator chooses Scots law as the relevant part of the law of his UK </w:t>
      </w:r>
      <w:r w:rsidR="00520609" w:rsidRPr="00765CB8">
        <w:rPr>
          <w:rFonts w:ascii="Times New Roman" w:hAnsi="Times New Roman" w:cs="Times New Roman"/>
          <w:color w:val="000000" w:themeColor="text1"/>
        </w:rPr>
        <w:t>nationality,</w:t>
      </w:r>
      <w:r w:rsidRPr="00765CB8">
        <w:rPr>
          <w:rFonts w:ascii="Times New Roman" w:hAnsi="Times New Roman" w:cs="Times New Roman"/>
          <w:color w:val="000000" w:themeColor="text1"/>
        </w:rPr>
        <w:t xml:space="preserve"> then </w:t>
      </w:r>
      <w:r w:rsidR="00BA61E1" w:rsidRPr="00765CB8">
        <w:rPr>
          <w:rFonts w:ascii="Times New Roman" w:hAnsi="Times New Roman" w:cs="Times New Roman"/>
          <w:color w:val="000000" w:themeColor="text1"/>
        </w:rPr>
        <w:t xml:space="preserve">internal </w:t>
      </w:r>
      <w:r w:rsidRPr="00765CB8">
        <w:rPr>
          <w:rFonts w:ascii="Times New Roman" w:hAnsi="Times New Roman" w:cs="Times New Roman"/>
          <w:color w:val="000000" w:themeColor="text1"/>
        </w:rPr>
        <w:t>Scots law</w:t>
      </w:r>
      <w:r w:rsidR="00BA61E1" w:rsidRPr="00765CB8">
        <w:rPr>
          <w:rFonts w:ascii="Times New Roman" w:hAnsi="Times New Roman" w:cs="Times New Roman"/>
          <w:color w:val="000000" w:themeColor="text1"/>
        </w:rPr>
        <w:t xml:space="preserve"> applies to the succession.</w:t>
      </w:r>
      <w:r w:rsidR="00F23E47">
        <w:rPr>
          <w:rFonts w:ascii="Times New Roman" w:hAnsi="Times New Roman" w:cs="Times New Roman"/>
          <w:color w:val="000000" w:themeColor="text1"/>
        </w:rPr>
        <w:t xml:space="preserve"> </w:t>
      </w:r>
      <w:r w:rsidR="00BA61E1" w:rsidRPr="00765CB8">
        <w:rPr>
          <w:rFonts w:ascii="Times New Roman" w:hAnsi="Times New Roman" w:cs="Times New Roman"/>
          <w:color w:val="000000" w:themeColor="text1"/>
        </w:rPr>
        <w:t>T</w:t>
      </w:r>
      <w:r w:rsidRPr="00765CB8">
        <w:rPr>
          <w:rFonts w:ascii="Times New Roman" w:hAnsi="Times New Roman" w:cs="Times New Roman"/>
          <w:color w:val="000000" w:themeColor="text1"/>
        </w:rPr>
        <w:t>he private international law of Scotland (which still has scission</w:t>
      </w:r>
      <w:r w:rsidR="00BA61E1" w:rsidRPr="00765CB8">
        <w:rPr>
          <w:rFonts w:ascii="Times New Roman" w:hAnsi="Times New Roman" w:cs="Times New Roman"/>
          <w:color w:val="000000" w:themeColor="text1"/>
        </w:rPr>
        <w:t xml:space="preserve"> whereby the </w:t>
      </w:r>
      <w:r w:rsidR="00BA61E1" w:rsidRPr="00765CB8">
        <w:rPr>
          <w:rFonts w:ascii="Times New Roman" w:hAnsi="Times New Roman" w:cs="Times New Roman"/>
          <w:i/>
          <w:color w:val="000000" w:themeColor="text1"/>
        </w:rPr>
        <w:t>lex situs</w:t>
      </w:r>
      <w:r w:rsidR="00BA61E1" w:rsidRPr="00765CB8">
        <w:rPr>
          <w:rFonts w:ascii="Times New Roman" w:hAnsi="Times New Roman" w:cs="Times New Roman"/>
          <w:color w:val="000000" w:themeColor="text1"/>
        </w:rPr>
        <w:t xml:space="preserve"> applies to the immoveable property and the law of the testator’s domicile at death applies to the moveable property</w:t>
      </w:r>
      <w:r w:rsidRPr="00765CB8">
        <w:rPr>
          <w:rFonts w:ascii="Times New Roman" w:hAnsi="Times New Roman" w:cs="Times New Roman"/>
          <w:color w:val="000000" w:themeColor="text1"/>
        </w:rPr>
        <w:t>)</w:t>
      </w:r>
      <w:r w:rsidR="00BA61E1" w:rsidRPr="00765CB8">
        <w:rPr>
          <w:rFonts w:ascii="Times New Roman" w:hAnsi="Times New Roman" w:cs="Times New Roman"/>
          <w:color w:val="000000" w:themeColor="text1"/>
        </w:rPr>
        <w:t>,</w:t>
      </w:r>
      <w:r w:rsidRPr="00765CB8">
        <w:rPr>
          <w:rFonts w:ascii="Times New Roman" w:hAnsi="Times New Roman" w:cs="Times New Roman"/>
          <w:color w:val="000000" w:themeColor="text1"/>
        </w:rPr>
        <w:t xml:space="preserve"> will </w:t>
      </w:r>
      <w:r w:rsidR="00BA61E1" w:rsidRPr="00765CB8">
        <w:rPr>
          <w:rFonts w:ascii="Times New Roman" w:hAnsi="Times New Roman" w:cs="Times New Roman"/>
          <w:color w:val="000000" w:themeColor="text1"/>
        </w:rPr>
        <w:t xml:space="preserve">not </w:t>
      </w:r>
      <w:r w:rsidRPr="00765CB8">
        <w:rPr>
          <w:rFonts w:ascii="Times New Roman" w:hAnsi="Times New Roman" w:cs="Times New Roman"/>
          <w:color w:val="000000" w:themeColor="text1"/>
        </w:rPr>
        <w:t>apply</w:t>
      </w:r>
      <w:r w:rsidR="00BA61E1" w:rsidRPr="00765CB8">
        <w:rPr>
          <w:rFonts w:ascii="Times New Roman" w:hAnsi="Times New Roman" w:cs="Times New Roman"/>
          <w:color w:val="000000" w:themeColor="text1"/>
        </w:rPr>
        <w:t xml:space="preserve"> because no </w:t>
      </w:r>
      <w:r w:rsidR="00BA61E1" w:rsidRPr="00B46F28">
        <w:rPr>
          <w:rFonts w:ascii="Times New Roman" w:hAnsi="Times New Roman" w:cs="Times New Roman"/>
          <w:i/>
          <w:color w:val="000000" w:themeColor="text1"/>
        </w:rPr>
        <w:t>renvoi</w:t>
      </w:r>
      <w:r w:rsidR="00BA61E1" w:rsidRPr="00765CB8">
        <w:rPr>
          <w:rFonts w:ascii="Times New Roman" w:hAnsi="Times New Roman" w:cs="Times New Roman"/>
          <w:color w:val="000000" w:themeColor="text1"/>
        </w:rPr>
        <w:t xml:space="preserve"> is possible under the Regulation when the </w:t>
      </w:r>
      <w:r w:rsidR="00BA61E1" w:rsidRPr="00765CB8">
        <w:rPr>
          <w:rFonts w:ascii="Times New Roman" w:hAnsi="Times New Roman" w:cs="Times New Roman"/>
          <w:color w:val="000000" w:themeColor="text1"/>
        </w:rPr>
        <w:lastRenderedPageBreak/>
        <w:t>testator has chosen the law of his or her nationality to govern the succession.</w:t>
      </w:r>
      <w:r w:rsidR="00BA61E1" w:rsidRPr="00765CB8">
        <w:rPr>
          <w:rFonts w:ascii="Times New Roman" w:hAnsi="Times New Roman" w:cs="Times New Roman"/>
          <w:color w:val="000000" w:themeColor="text1"/>
          <w:vertAlign w:val="superscript"/>
        </w:rPr>
        <w:footnoteReference w:id="25"/>
      </w:r>
      <w:r w:rsidR="00F23E47">
        <w:rPr>
          <w:rFonts w:ascii="Times New Roman" w:hAnsi="Times New Roman" w:cs="Times New Roman"/>
          <w:color w:val="000000" w:themeColor="text1"/>
        </w:rPr>
        <w:t xml:space="preserve"> </w:t>
      </w:r>
      <w:r w:rsidR="00BA61E1" w:rsidRPr="00765CB8">
        <w:rPr>
          <w:rFonts w:ascii="Times New Roman" w:hAnsi="Times New Roman" w:cs="Times New Roman"/>
          <w:color w:val="000000" w:themeColor="text1"/>
        </w:rPr>
        <w:t>Therefore, all of the testator’s property, whether moveable or immoveable, in the participating Member States will go to those entitled to receive it under the internal law of Scotland after the creditors have been paid out of the estate.</w:t>
      </w:r>
    </w:p>
    <w:p w14:paraId="5D42CF1A" w14:textId="77777777" w:rsidR="00BE4200" w:rsidRPr="00765CB8" w:rsidRDefault="00BE4200" w:rsidP="00765CB8">
      <w:pPr>
        <w:jc w:val="both"/>
        <w:rPr>
          <w:rFonts w:ascii="Times New Roman" w:hAnsi="Times New Roman" w:cs="Times New Roman"/>
          <w:color w:val="000000" w:themeColor="text1"/>
        </w:rPr>
      </w:pPr>
    </w:p>
    <w:p w14:paraId="670FFC53" w14:textId="66F102B8" w:rsidR="003F33F4" w:rsidRPr="00765CB8" w:rsidRDefault="00015318"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It is worth noting that the choice of Scots law can be implied under the Regulation. So a UK national, who is more closely connected with Scotland than England and Wales or Northern Ireland, could impliedly choose Scots law to govern his or her succession.</w:t>
      </w:r>
      <w:r w:rsidR="00F23E47">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Recital 39 to the Regulation provides that a choice of law could be rega</w:t>
      </w:r>
      <w:r w:rsidR="00A24BAC" w:rsidRPr="00765CB8">
        <w:rPr>
          <w:rFonts w:ascii="Times New Roman" w:hAnsi="Times New Roman" w:cs="Times New Roman"/>
          <w:color w:val="000000" w:themeColor="text1"/>
        </w:rPr>
        <w:t xml:space="preserve">rded as demonstrated by a will </w:t>
      </w:r>
      <w:r w:rsidR="008B632F">
        <w:rPr>
          <w:rFonts w:ascii="Times New Roman" w:hAnsi="Times New Roman" w:cs="Times New Roman"/>
          <w:color w:val="000000" w:themeColor="text1"/>
        </w:rPr>
        <w:t>‘</w:t>
      </w:r>
      <w:r w:rsidRPr="00765CB8">
        <w:rPr>
          <w:rFonts w:ascii="Times New Roman" w:hAnsi="Times New Roman" w:cs="Times New Roman"/>
          <w:color w:val="000000" w:themeColor="text1"/>
        </w:rPr>
        <w:t>where, for instance, the deceased had referred in his disposition to specific provisions of the law of the State of his nationality or where he ha</w:t>
      </w:r>
      <w:r w:rsidR="00E34736">
        <w:rPr>
          <w:rFonts w:ascii="Times New Roman" w:hAnsi="Times New Roman" w:cs="Times New Roman"/>
          <w:color w:val="000000" w:themeColor="text1"/>
        </w:rPr>
        <w:t>d otherwise mentioned that law</w:t>
      </w:r>
      <w:r w:rsidR="008B632F">
        <w:rPr>
          <w:rFonts w:ascii="Times New Roman" w:hAnsi="Times New Roman" w:cs="Times New Roman"/>
          <w:color w:val="000000" w:themeColor="text1"/>
        </w:rPr>
        <w:t>’</w:t>
      </w:r>
      <w:r w:rsidR="00E34736">
        <w:rPr>
          <w:rFonts w:ascii="Times New Roman" w:hAnsi="Times New Roman" w:cs="Times New Roman"/>
          <w:color w:val="000000" w:themeColor="text1"/>
        </w:rPr>
        <w:t>.</w:t>
      </w:r>
      <w:r w:rsidR="00F23E47">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Thus if a testator drafted his will in accordance with the standard terms used in a Scots law will it is possible that a decision maker in a participating Member State will decide that for the purposes of the Succession Regulation the testator chose Scots law to govern his or her succession.</w:t>
      </w:r>
      <w:r w:rsidR="00F23E47">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 xml:space="preserve">Clearly for estate planning purposes it would be better if the testator made an </w:t>
      </w:r>
      <w:r w:rsidR="00A24BAC" w:rsidRPr="00765CB8">
        <w:rPr>
          <w:rFonts w:ascii="Times New Roman" w:hAnsi="Times New Roman" w:cs="Times New Roman"/>
          <w:color w:val="000000" w:themeColor="text1"/>
        </w:rPr>
        <w:t>‘</w:t>
      </w:r>
      <w:r w:rsidRPr="00765CB8">
        <w:rPr>
          <w:rFonts w:ascii="Times New Roman" w:hAnsi="Times New Roman" w:cs="Times New Roman"/>
          <w:color w:val="000000" w:themeColor="text1"/>
        </w:rPr>
        <w:t>express</w:t>
      </w:r>
      <w:r w:rsidR="00A24BAC" w:rsidRPr="00765CB8">
        <w:rPr>
          <w:rFonts w:ascii="Times New Roman" w:hAnsi="Times New Roman" w:cs="Times New Roman"/>
          <w:color w:val="000000" w:themeColor="text1"/>
        </w:rPr>
        <w:t>’</w:t>
      </w:r>
      <w:r w:rsidRPr="00765CB8">
        <w:rPr>
          <w:rFonts w:ascii="Times New Roman" w:hAnsi="Times New Roman" w:cs="Times New Roman"/>
          <w:color w:val="000000" w:themeColor="text1"/>
        </w:rPr>
        <w:t xml:space="preserve"> choice of Scots law when he envisages that a decision maker in a participating Member State might one day have to decide whether he </w:t>
      </w:r>
      <w:r w:rsidR="00AC1CC9" w:rsidRPr="00765CB8">
        <w:rPr>
          <w:rFonts w:ascii="Times New Roman" w:hAnsi="Times New Roman" w:cs="Times New Roman"/>
          <w:color w:val="000000" w:themeColor="text1"/>
        </w:rPr>
        <w:t>or she chose the law of Scotland to govern his or her estate.</w:t>
      </w:r>
      <w:r w:rsidR="00F23E47">
        <w:rPr>
          <w:rFonts w:ascii="Times New Roman" w:hAnsi="Times New Roman" w:cs="Times New Roman"/>
          <w:color w:val="000000" w:themeColor="text1"/>
        </w:rPr>
        <w:t xml:space="preserve"> </w:t>
      </w:r>
      <w:r w:rsidR="00AC1CC9" w:rsidRPr="00765CB8">
        <w:rPr>
          <w:rFonts w:ascii="Times New Roman" w:hAnsi="Times New Roman" w:cs="Times New Roman"/>
          <w:color w:val="000000" w:themeColor="text1"/>
        </w:rPr>
        <w:t>However, testators are not always well advised by their lawyers (some of whom might not think about the implications of the Succession Regulation permitting the choice of the succession law of a State of which the testator is a national) and the laws of the United Kingdom do not yet permit a testator to make an express choice of the law to govern their estate.</w:t>
      </w:r>
      <w:r w:rsidR="00F23E47">
        <w:rPr>
          <w:rFonts w:ascii="Times New Roman" w:hAnsi="Times New Roman" w:cs="Times New Roman"/>
          <w:color w:val="000000" w:themeColor="text1"/>
        </w:rPr>
        <w:t xml:space="preserve"> </w:t>
      </w:r>
      <w:r w:rsidR="00AC1CC9" w:rsidRPr="00765CB8">
        <w:rPr>
          <w:rFonts w:ascii="Times New Roman" w:hAnsi="Times New Roman" w:cs="Times New Roman"/>
          <w:color w:val="000000" w:themeColor="text1"/>
        </w:rPr>
        <w:t>It is difficult to know if a testator by using the standard terms of a will in Scotland intends that only the internal law of Scotland should apply to his or her succession. The testator may be aware that Scots private international law does not permit a choice of succession law and that its private international law rules have scission.</w:t>
      </w:r>
      <w:r w:rsidR="00F23E47">
        <w:rPr>
          <w:rFonts w:ascii="Times New Roman" w:hAnsi="Times New Roman" w:cs="Times New Roman"/>
          <w:color w:val="000000" w:themeColor="text1"/>
        </w:rPr>
        <w:t xml:space="preserve"> </w:t>
      </w:r>
      <w:r w:rsidR="00AC1CC9" w:rsidRPr="00765CB8">
        <w:rPr>
          <w:rFonts w:ascii="Times New Roman" w:hAnsi="Times New Roman" w:cs="Times New Roman"/>
          <w:color w:val="000000" w:themeColor="text1"/>
        </w:rPr>
        <w:t xml:space="preserve">Such an aware person could be deemed to be avoiding scission of their European Union property by an express choice of Scots law to govern their succession. On the other </w:t>
      </w:r>
      <w:r w:rsidR="00520609" w:rsidRPr="00765CB8">
        <w:rPr>
          <w:rFonts w:ascii="Times New Roman" w:hAnsi="Times New Roman" w:cs="Times New Roman"/>
          <w:color w:val="000000" w:themeColor="text1"/>
        </w:rPr>
        <w:t>hand,</w:t>
      </w:r>
      <w:r w:rsidR="00AC1CC9" w:rsidRPr="00765CB8">
        <w:rPr>
          <w:rFonts w:ascii="Times New Roman" w:hAnsi="Times New Roman" w:cs="Times New Roman"/>
          <w:color w:val="000000" w:themeColor="text1"/>
        </w:rPr>
        <w:t xml:space="preserve"> unaware or badly advised UK national testator</w:t>
      </w:r>
      <w:r w:rsidR="008D27A1" w:rsidRPr="00765CB8">
        <w:rPr>
          <w:rFonts w:ascii="Times New Roman" w:hAnsi="Times New Roman" w:cs="Times New Roman"/>
          <w:color w:val="000000" w:themeColor="text1"/>
        </w:rPr>
        <w:t>s</w:t>
      </w:r>
      <w:r w:rsidR="00AC1CC9" w:rsidRPr="00765CB8">
        <w:rPr>
          <w:rFonts w:ascii="Times New Roman" w:hAnsi="Times New Roman" w:cs="Times New Roman"/>
          <w:color w:val="000000" w:themeColor="text1"/>
        </w:rPr>
        <w:t xml:space="preserve"> may well have chosen the internal law of Scotland to govern the succession of their property in other parts of the EU if they knew they could </w:t>
      </w:r>
      <w:r w:rsidR="008D27A1" w:rsidRPr="00765CB8">
        <w:rPr>
          <w:rFonts w:ascii="Times New Roman" w:hAnsi="Times New Roman" w:cs="Times New Roman"/>
          <w:color w:val="000000" w:themeColor="text1"/>
        </w:rPr>
        <w:t>do so and therefore it should be implied that they chose Scots law to govern the succession to that property by the use of standard Scots law terms in their will.</w:t>
      </w:r>
    </w:p>
    <w:p w14:paraId="6B4FDADC" w14:textId="77777777" w:rsidR="003F33F4" w:rsidRPr="00765CB8" w:rsidRDefault="003F33F4" w:rsidP="00765CB8">
      <w:pPr>
        <w:jc w:val="both"/>
        <w:rPr>
          <w:rFonts w:ascii="Times New Roman" w:hAnsi="Times New Roman" w:cs="Times New Roman"/>
          <w:color w:val="000000" w:themeColor="text1"/>
        </w:rPr>
      </w:pPr>
    </w:p>
    <w:p w14:paraId="718C1A89" w14:textId="77777777" w:rsidR="003F33F4" w:rsidRPr="00765CB8" w:rsidRDefault="00951E93" w:rsidP="00951E93">
      <w:pPr>
        <w:pStyle w:val="ListParagraph"/>
        <w:ind w:left="0"/>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3F33F4" w:rsidRPr="00765CB8">
        <w:rPr>
          <w:rFonts w:ascii="Times New Roman" w:hAnsi="Times New Roman" w:cs="Times New Roman"/>
          <w:color w:val="000000" w:themeColor="text1"/>
        </w:rPr>
        <w:t xml:space="preserve">UK </w:t>
      </w:r>
      <w:r w:rsidR="008A6670" w:rsidRPr="00765CB8">
        <w:rPr>
          <w:rFonts w:ascii="Times New Roman" w:hAnsi="Times New Roman" w:cs="Times New Roman"/>
          <w:color w:val="000000" w:themeColor="text1"/>
        </w:rPr>
        <w:t xml:space="preserve">nationals </w:t>
      </w:r>
      <w:r w:rsidR="003F33F4" w:rsidRPr="00765CB8">
        <w:rPr>
          <w:rFonts w:ascii="Times New Roman" w:hAnsi="Times New Roman" w:cs="Times New Roman"/>
          <w:color w:val="000000" w:themeColor="text1"/>
        </w:rPr>
        <w:t xml:space="preserve">who do not </w:t>
      </w:r>
      <w:r w:rsidR="008A6670" w:rsidRPr="00765CB8">
        <w:rPr>
          <w:rFonts w:ascii="Times New Roman" w:hAnsi="Times New Roman" w:cs="Times New Roman"/>
          <w:color w:val="000000" w:themeColor="text1"/>
        </w:rPr>
        <w:t xml:space="preserve">choose </w:t>
      </w:r>
      <w:r w:rsidR="003F33F4" w:rsidRPr="00765CB8">
        <w:rPr>
          <w:rFonts w:ascii="Times New Roman" w:hAnsi="Times New Roman" w:cs="Times New Roman"/>
          <w:color w:val="000000" w:themeColor="text1"/>
        </w:rPr>
        <w:t xml:space="preserve">the </w:t>
      </w:r>
      <w:r w:rsidR="008A6670" w:rsidRPr="00765CB8">
        <w:rPr>
          <w:rFonts w:ascii="Times New Roman" w:hAnsi="Times New Roman" w:cs="Times New Roman"/>
          <w:color w:val="000000" w:themeColor="text1"/>
        </w:rPr>
        <w:t xml:space="preserve">law </w:t>
      </w:r>
      <w:r w:rsidR="003F33F4" w:rsidRPr="00765CB8">
        <w:rPr>
          <w:rFonts w:ascii="Times New Roman" w:hAnsi="Times New Roman" w:cs="Times New Roman"/>
          <w:color w:val="000000" w:themeColor="text1"/>
        </w:rPr>
        <w:t xml:space="preserve">of their </w:t>
      </w:r>
      <w:r w:rsidR="008A6670" w:rsidRPr="00765CB8">
        <w:rPr>
          <w:rFonts w:ascii="Times New Roman" w:hAnsi="Times New Roman" w:cs="Times New Roman"/>
          <w:color w:val="000000" w:themeColor="text1"/>
        </w:rPr>
        <w:t xml:space="preserve">nationality </w:t>
      </w:r>
      <w:r w:rsidR="003F33F4" w:rsidRPr="00765CB8">
        <w:rPr>
          <w:rFonts w:ascii="Times New Roman" w:hAnsi="Times New Roman" w:cs="Times New Roman"/>
          <w:color w:val="000000" w:themeColor="text1"/>
        </w:rPr>
        <w:t xml:space="preserve">and are </w:t>
      </w:r>
      <w:r w:rsidR="008A6670" w:rsidRPr="00765CB8">
        <w:rPr>
          <w:rFonts w:ascii="Times New Roman" w:hAnsi="Times New Roman" w:cs="Times New Roman"/>
          <w:color w:val="000000" w:themeColor="text1"/>
        </w:rPr>
        <w:t xml:space="preserve">habitually resident </w:t>
      </w:r>
      <w:r w:rsidR="003F33F4" w:rsidRPr="00765CB8">
        <w:rPr>
          <w:rFonts w:ascii="Times New Roman" w:hAnsi="Times New Roman" w:cs="Times New Roman"/>
          <w:color w:val="000000" w:themeColor="text1"/>
        </w:rPr>
        <w:t xml:space="preserve">in a </w:t>
      </w:r>
      <w:r w:rsidR="008A6670" w:rsidRPr="00765CB8">
        <w:rPr>
          <w:rFonts w:ascii="Times New Roman" w:hAnsi="Times New Roman" w:cs="Times New Roman"/>
          <w:color w:val="000000" w:themeColor="text1"/>
        </w:rPr>
        <w:t xml:space="preserve">participating </w:t>
      </w:r>
      <w:r w:rsidR="003F33F4" w:rsidRPr="00765CB8">
        <w:rPr>
          <w:rFonts w:ascii="Times New Roman" w:hAnsi="Times New Roman" w:cs="Times New Roman"/>
          <w:color w:val="000000" w:themeColor="text1"/>
        </w:rPr>
        <w:t>Member State</w:t>
      </w:r>
    </w:p>
    <w:p w14:paraId="26E2FA46" w14:textId="77777777" w:rsidR="003F33F4" w:rsidRPr="00765CB8" w:rsidRDefault="003F33F4" w:rsidP="00765CB8">
      <w:pPr>
        <w:jc w:val="both"/>
        <w:rPr>
          <w:rFonts w:ascii="Times New Roman" w:hAnsi="Times New Roman" w:cs="Times New Roman"/>
          <w:color w:val="000000" w:themeColor="text1"/>
        </w:rPr>
      </w:pPr>
    </w:p>
    <w:p w14:paraId="6CA816AF" w14:textId="77777777" w:rsidR="007548F7" w:rsidRDefault="003A43C7"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If </w:t>
      </w:r>
      <w:r w:rsidR="00313040" w:rsidRPr="00765CB8">
        <w:rPr>
          <w:rFonts w:ascii="Times New Roman" w:hAnsi="Times New Roman" w:cs="Times New Roman"/>
          <w:color w:val="000000" w:themeColor="text1"/>
        </w:rPr>
        <w:t>t</w:t>
      </w:r>
      <w:r w:rsidRPr="00765CB8">
        <w:rPr>
          <w:rFonts w:ascii="Times New Roman" w:hAnsi="Times New Roman" w:cs="Times New Roman"/>
          <w:color w:val="000000" w:themeColor="text1"/>
        </w:rPr>
        <w:t>he</w:t>
      </w:r>
      <w:r w:rsidR="00313040" w:rsidRPr="00765CB8">
        <w:rPr>
          <w:rFonts w:ascii="Times New Roman" w:hAnsi="Times New Roman" w:cs="Times New Roman"/>
          <w:color w:val="000000" w:themeColor="text1"/>
        </w:rPr>
        <w:t xml:space="preserve"> testator</w:t>
      </w:r>
      <w:r w:rsidRPr="00765CB8">
        <w:rPr>
          <w:rFonts w:ascii="Times New Roman" w:hAnsi="Times New Roman" w:cs="Times New Roman"/>
          <w:color w:val="000000" w:themeColor="text1"/>
        </w:rPr>
        <w:t xml:space="preserve"> does not expressly choose the law of his nationality </w:t>
      </w:r>
      <w:r w:rsidR="0045529A" w:rsidRPr="00765CB8">
        <w:rPr>
          <w:rFonts w:ascii="Times New Roman" w:hAnsi="Times New Roman" w:cs="Times New Roman"/>
          <w:color w:val="000000" w:themeColor="text1"/>
        </w:rPr>
        <w:t xml:space="preserve">within his </w:t>
      </w:r>
      <w:r w:rsidR="00294B13" w:rsidRPr="00765CB8">
        <w:rPr>
          <w:rFonts w:ascii="Times New Roman" w:hAnsi="Times New Roman" w:cs="Times New Roman"/>
          <w:color w:val="000000" w:themeColor="text1"/>
        </w:rPr>
        <w:t>w</w:t>
      </w:r>
      <w:r w:rsidR="0045529A" w:rsidRPr="00765CB8">
        <w:rPr>
          <w:rFonts w:ascii="Times New Roman" w:hAnsi="Times New Roman" w:cs="Times New Roman"/>
          <w:color w:val="000000" w:themeColor="text1"/>
        </w:rPr>
        <w:t xml:space="preserve">ill </w:t>
      </w:r>
      <w:r w:rsidRPr="00765CB8">
        <w:rPr>
          <w:rFonts w:ascii="Times New Roman" w:hAnsi="Times New Roman" w:cs="Times New Roman"/>
          <w:color w:val="000000" w:themeColor="text1"/>
        </w:rPr>
        <w:t xml:space="preserve">to govern his succession, then the jurisdiction and applicable law governing his estate will be that of his habitual residence </w:t>
      </w:r>
      <w:r w:rsidR="009A1DBD" w:rsidRPr="00765CB8">
        <w:rPr>
          <w:rFonts w:ascii="Times New Roman" w:hAnsi="Times New Roman" w:cs="Times New Roman"/>
          <w:color w:val="000000" w:themeColor="text1"/>
        </w:rPr>
        <w:t xml:space="preserve">at death </w:t>
      </w:r>
      <w:r w:rsidRPr="00765CB8">
        <w:rPr>
          <w:rFonts w:ascii="Times New Roman" w:hAnsi="Times New Roman" w:cs="Times New Roman"/>
          <w:color w:val="000000" w:themeColor="text1"/>
        </w:rPr>
        <w:t>unless it is possible to show that he was more closely connected to another country.</w:t>
      </w:r>
      <w:r w:rsidRPr="00765CB8">
        <w:rPr>
          <w:rStyle w:val="FootnoteReference"/>
          <w:rFonts w:ascii="Times New Roman" w:hAnsi="Times New Roman" w:cs="Times New Roman"/>
          <w:color w:val="000000" w:themeColor="text1"/>
        </w:rPr>
        <w:footnoteReference w:id="26"/>
      </w:r>
      <w:r w:rsidR="00BE4200">
        <w:rPr>
          <w:rFonts w:ascii="Times New Roman" w:hAnsi="Times New Roman" w:cs="Times New Roman"/>
          <w:color w:val="000000" w:themeColor="text1"/>
        </w:rPr>
        <w:t xml:space="preserve"> </w:t>
      </w:r>
    </w:p>
    <w:p w14:paraId="077B2DD1" w14:textId="77777777" w:rsidR="00BE4200" w:rsidRPr="00765CB8" w:rsidRDefault="00BE4200" w:rsidP="00765CB8">
      <w:pPr>
        <w:jc w:val="both"/>
        <w:rPr>
          <w:rFonts w:ascii="Times New Roman" w:hAnsi="Times New Roman" w:cs="Times New Roman"/>
          <w:color w:val="000000" w:themeColor="text1"/>
        </w:rPr>
      </w:pPr>
    </w:p>
    <w:p w14:paraId="1B995051" w14:textId="600BBC3F" w:rsidR="003F33F4" w:rsidRPr="00765CB8" w:rsidRDefault="003A43C7"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Additionally, if the UK national is habitually resident within a participating </w:t>
      </w:r>
      <w:r w:rsidR="00EC3297" w:rsidRPr="00765CB8">
        <w:rPr>
          <w:rFonts w:ascii="Times New Roman" w:hAnsi="Times New Roman" w:cs="Times New Roman"/>
          <w:color w:val="000000" w:themeColor="text1"/>
        </w:rPr>
        <w:t>Member S</w:t>
      </w:r>
      <w:r w:rsidRPr="00765CB8">
        <w:rPr>
          <w:rFonts w:ascii="Times New Roman" w:hAnsi="Times New Roman" w:cs="Times New Roman"/>
          <w:color w:val="000000" w:themeColor="text1"/>
        </w:rPr>
        <w:t xml:space="preserve">tate and does not expressly choose the law of his nationality to govern his estate, if the succession laws of his habitual residence permit clawback then any gift made by the testator will be subject to the clawback rules of that </w:t>
      </w:r>
      <w:r w:rsidR="00EC3297" w:rsidRPr="00765CB8">
        <w:rPr>
          <w:rFonts w:ascii="Times New Roman" w:hAnsi="Times New Roman" w:cs="Times New Roman"/>
          <w:color w:val="000000" w:themeColor="text1"/>
        </w:rPr>
        <w:t>S</w:t>
      </w:r>
      <w:r w:rsidRPr="00765CB8">
        <w:rPr>
          <w:rFonts w:ascii="Times New Roman" w:hAnsi="Times New Roman" w:cs="Times New Roman"/>
          <w:color w:val="000000" w:themeColor="text1"/>
        </w:rPr>
        <w:t xml:space="preserve">tate even if the testator’s residence there could not have been anticipated at the time the gift was given. This </w:t>
      </w:r>
      <w:r w:rsidRPr="00765CB8">
        <w:rPr>
          <w:rFonts w:ascii="Times New Roman" w:hAnsi="Times New Roman" w:cs="Times New Roman"/>
          <w:color w:val="000000" w:themeColor="text1"/>
        </w:rPr>
        <w:lastRenderedPageBreak/>
        <w:t xml:space="preserve">creates great uncertainty for all parties involved and was </w:t>
      </w:r>
      <w:r w:rsidR="00B21A4D" w:rsidRPr="00765CB8">
        <w:rPr>
          <w:rFonts w:ascii="Times New Roman" w:hAnsi="Times New Roman" w:cs="Times New Roman"/>
          <w:color w:val="000000" w:themeColor="text1"/>
        </w:rPr>
        <w:t>the</w:t>
      </w:r>
      <w:r w:rsidRPr="00765CB8">
        <w:rPr>
          <w:rFonts w:ascii="Times New Roman" w:hAnsi="Times New Roman" w:cs="Times New Roman"/>
          <w:color w:val="000000" w:themeColor="text1"/>
        </w:rPr>
        <w:t xml:space="preserve"> point </w:t>
      </w:r>
      <w:r w:rsidR="00B21A4D" w:rsidRPr="00765CB8">
        <w:rPr>
          <w:rFonts w:ascii="Times New Roman" w:hAnsi="Times New Roman" w:cs="Times New Roman"/>
          <w:color w:val="000000" w:themeColor="text1"/>
        </w:rPr>
        <w:t xml:space="preserve">in the Succession Regulation </w:t>
      </w:r>
      <w:r w:rsidRPr="00765CB8">
        <w:rPr>
          <w:rFonts w:ascii="Times New Roman" w:hAnsi="Times New Roman" w:cs="Times New Roman"/>
          <w:color w:val="000000" w:themeColor="text1"/>
        </w:rPr>
        <w:t>that UK charities found the most objectionable.</w:t>
      </w:r>
      <w:r w:rsidR="00EF6048" w:rsidRPr="00765CB8">
        <w:rPr>
          <w:rStyle w:val="FootnoteReference"/>
          <w:rFonts w:ascii="Times New Roman" w:hAnsi="Times New Roman" w:cs="Times New Roman"/>
          <w:color w:val="000000" w:themeColor="text1"/>
        </w:rPr>
        <w:footnoteReference w:id="27"/>
      </w:r>
      <w:r w:rsidRPr="00765CB8">
        <w:rPr>
          <w:rFonts w:ascii="Times New Roman" w:hAnsi="Times New Roman" w:cs="Times New Roman"/>
          <w:color w:val="000000" w:themeColor="text1"/>
        </w:rPr>
        <w:t xml:space="preserve"> It is not clear whether the UK courts will recognise and enforce </w:t>
      </w:r>
      <w:r w:rsidR="00EC3297" w:rsidRPr="00765CB8">
        <w:rPr>
          <w:rFonts w:ascii="Times New Roman" w:hAnsi="Times New Roman" w:cs="Times New Roman"/>
          <w:color w:val="000000" w:themeColor="text1"/>
        </w:rPr>
        <w:t xml:space="preserve">judgments from other EU Member States ordering </w:t>
      </w:r>
      <w:r w:rsidRPr="00765CB8">
        <w:rPr>
          <w:rFonts w:ascii="Times New Roman" w:hAnsi="Times New Roman" w:cs="Times New Roman"/>
          <w:color w:val="000000" w:themeColor="text1"/>
        </w:rPr>
        <w:t xml:space="preserve">clawback of gifts made </w:t>
      </w:r>
      <w:r w:rsidR="00EC3297" w:rsidRPr="00765CB8">
        <w:rPr>
          <w:rFonts w:ascii="Times New Roman" w:hAnsi="Times New Roman" w:cs="Times New Roman"/>
          <w:color w:val="000000" w:themeColor="text1"/>
        </w:rPr>
        <w:t xml:space="preserve">by a testator </w:t>
      </w:r>
      <w:r w:rsidRPr="00765CB8">
        <w:rPr>
          <w:rFonts w:ascii="Times New Roman" w:hAnsi="Times New Roman" w:cs="Times New Roman"/>
          <w:color w:val="000000" w:themeColor="text1"/>
        </w:rPr>
        <w:t>in the UK</w:t>
      </w:r>
      <w:r w:rsidR="00EC3297" w:rsidRPr="00765CB8">
        <w:rPr>
          <w:rFonts w:ascii="Times New Roman" w:hAnsi="Times New Roman" w:cs="Times New Roman"/>
          <w:color w:val="000000" w:themeColor="text1"/>
        </w:rPr>
        <w:t>.</w:t>
      </w:r>
      <w:r w:rsidR="00F23E47">
        <w:rPr>
          <w:rFonts w:ascii="Times New Roman" w:hAnsi="Times New Roman" w:cs="Times New Roman"/>
          <w:color w:val="000000" w:themeColor="text1"/>
        </w:rPr>
        <w:t xml:space="preserve"> </w:t>
      </w:r>
      <w:r w:rsidR="00EC3297" w:rsidRPr="00765CB8">
        <w:rPr>
          <w:rFonts w:ascii="Times New Roman" w:hAnsi="Times New Roman" w:cs="Times New Roman"/>
          <w:color w:val="000000" w:themeColor="text1"/>
        </w:rPr>
        <w:t xml:space="preserve">This is not a matter covered by the Brussels I Regulation </w:t>
      </w:r>
      <w:r w:rsidR="0099618B">
        <w:rPr>
          <w:rFonts w:ascii="Times New Roman" w:hAnsi="Times New Roman" w:cs="Times New Roman"/>
          <w:color w:val="000000" w:themeColor="text1"/>
        </w:rPr>
        <w:t xml:space="preserve">or the Lugano Convention </w:t>
      </w:r>
      <w:r w:rsidR="00EC3297" w:rsidRPr="00765CB8">
        <w:rPr>
          <w:rFonts w:ascii="Times New Roman" w:hAnsi="Times New Roman" w:cs="Times New Roman"/>
          <w:color w:val="000000" w:themeColor="text1"/>
        </w:rPr>
        <w:t xml:space="preserve">which exclude </w:t>
      </w:r>
      <w:r w:rsidR="008B632F">
        <w:rPr>
          <w:rFonts w:ascii="Times New Roman" w:hAnsi="Times New Roman" w:cs="Times New Roman"/>
          <w:color w:val="000000" w:themeColor="text1"/>
        </w:rPr>
        <w:t>‘</w:t>
      </w:r>
      <w:r w:rsidR="00EC3297" w:rsidRPr="00765CB8">
        <w:rPr>
          <w:rFonts w:ascii="Times New Roman" w:hAnsi="Times New Roman" w:cs="Times New Roman"/>
          <w:color w:val="000000" w:themeColor="text1"/>
        </w:rPr>
        <w:t>wills and succession</w:t>
      </w:r>
      <w:r w:rsidR="008B632F">
        <w:rPr>
          <w:rFonts w:ascii="Times New Roman" w:hAnsi="Times New Roman" w:cs="Times New Roman"/>
          <w:color w:val="000000" w:themeColor="text1"/>
        </w:rPr>
        <w:t>’</w:t>
      </w:r>
      <w:r w:rsidR="00EC3297" w:rsidRPr="00765CB8">
        <w:rPr>
          <w:rFonts w:ascii="Times New Roman" w:hAnsi="Times New Roman" w:cs="Times New Roman"/>
          <w:color w:val="000000" w:themeColor="text1"/>
        </w:rPr>
        <w:t xml:space="preserve"> from </w:t>
      </w:r>
      <w:r w:rsidR="00C97AF8">
        <w:rPr>
          <w:rFonts w:ascii="Times New Roman" w:hAnsi="Times New Roman" w:cs="Times New Roman"/>
          <w:color w:val="000000" w:themeColor="text1"/>
        </w:rPr>
        <w:t>their</w:t>
      </w:r>
      <w:r w:rsidR="00EC3297" w:rsidRPr="00765CB8">
        <w:rPr>
          <w:rFonts w:ascii="Times New Roman" w:hAnsi="Times New Roman" w:cs="Times New Roman"/>
          <w:color w:val="000000" w:themeColor="text1"/>
        </w:rPr>
        <w:t xml:space="preserve"> scope.</w:t>
      </w:r>
      <w:r w:rsidR="00EC3297" w:rsidRPr="00765CB8">
        <w:rPr>
          <w:rStyle w:val="FootnoteReference"/>
          <w:rFonts w:ascii="Times New Roman" w:hAnsi="Times New Roman" w:cs="Times New Roman"/>
          <w:color w:val="000000" w:themeColor="text1"/>
        </w:rPr>
        <w:footnoteReference w:id="28"/>
      </w:r>
      <w:r w:rsidRPr="00765CB8">
        <w:rPr>
          <w:rFonts w:ascii="Times New Roman" w:hAnsi="Times New Roman" w:cs="Times New Roman"/>
          <w:color w:val="000000" w:themeColor="text1"/>
        </w:rPr>
        <w:t xml:space="preserve"> </w:t>
      </w:r>
      <w:r w:rsidR="00091E7C" w:rsidRPr="00765CB8">
        <w:rPr>
          <w:rFonts w:ascii="Times New Roman" w:hAnsi="Times New Roman" w:cs="Times New Roman"/>
          <w:color w:val="000000" w:themeColor="text1"/>
        </w:rPr>
        <w:t>In so far as the matter is covered by the common law on recogniti</w:t>
      </w:r>
      <w:r w:rsidR="005358C3" w:rsidRPr="00765CB8">
        <w:rPr>
          <w:rFonts w:ascii="Times New Roman" w:hAnsi="Times New Roman" w:cs="Times New Roman"/>
          <w:color w:val="000000" w:themeColor="text1"/>
        </w:rPr>
        <w:t>on and enforcement of judgments</w:t>
      </w:r>
      <w:r w:rsidR="000414BE" w:rsidRPr="00765CB8">
        <w:rPr>
          <w:rFonts w:ascii="Times New Roman" w:hAnsi="Times New Roman" w:cs="Times New Roman"/>
          <w:color w:val="000000" w:themeColor="text1"/>
        </w:rPr>
        <w:t>,</w:t>
      </w:r>
      <w:r w:rsidR="000414BE" w:rsidRPr="00765CB8">
        <w:rPr>
          <w:rStyle w:val="FootnoteReference"/>
          <w:rFonts w:ascii="Times New Roman" w:hAnsi="Times New Roman" w:cs="Times New Roman"/>
          <w:color w:val="000000" w:themeColor="text1"/>
        </w:rPr>
        <w:footnoteReference w:id="29"/>
      </w:r>
      <w:r w:rsidR="005358C3" w:rsidRPr="00765CB8">
        <w:rPr>
          <w:rFonts w:ascii="Times New Roman" w:hAnsi="Times New Roman" w:cs="Times New Roman"/>
          <w:color w:val="000000" w:themeColor="text1"/>
        </w:rPr>
        <w:t xml:space="preserve"> or the statutory schemes provided by Part II of the Administration of Justice Act 1920 or Part I of the Foreign Judgments (Reciprocal Enforcement) Act 1933,</w:t>
      </w:r>
      <w:r w:rsidR="000414BE" w:rsidRPr="00765CB8">
        <w:rPr>
          <w:rStyle w:val="FootnoteReference"/>
          <w:rFonts w:ascii="Times New Roman" w:hAnsi="Times New Roman" w:cs="Times New Roman"/>
          <w:color w:val="000000" w:themeColor="text1"/>
        </w:rPr>
        <w:footnoteReference w:id="30"/>
      </w:r>
      <w:r w:rsidR="005358C3" w:rsidRPr="00765CB8">
        <w:rPr>
          <w:rFonts w:ascii="Times New Roman" w:hAnsi="Times New Roman" w:cs="Times New Roman"/>
          <w:color w:val="000000" w:themeColor="text1"/>
        </w:rPr>
        <w:t xml:space="preserve"> and</w:t>
      </w:r>
      <w:r w:rsidR="00091E7C" w:rsidRPr="00765CB8">
        <w:rPr>
          <w:rFonts w:ascii="Times New Roman" w:hAnsi="Times New Roman" w:cs="Times New Roman"/>
          <w:color w:val="000000" w:themeColor="text1"/>
        </w:rPr>
        <w:t xml:space="preserve"> the foreign judgment meet</w:t>
      </w:r>
      <w:r w:rsidR="005358C3" w:rsidRPr="00765CB8">
        <w:rPr>
          <w:rFonts w:ascii="Times New Roman" w:hAnsi="Times New Roman" w:cs="Times New Roman"/>
          <w:color w:val="000000" w:themeColor="text1"/>
        </w:rPr>
        <w:t>s</w:t>
      </w:r>
      <w:r w:rsidR="00091E7C" w:rsidRPr="00765CB8">
        <w:rPr>
          <w:rFonts w:ascii="Times New Roman" w:hAnsi="Times New Roman" w:cs="Times New Roman"/>
          <w:color w:val="000000" w:themeColor="text1"/>
        </w:rPr>
        <w:t xml:space="preserve"> the indirect rules of jurisdiction</w:t>
      </w:r>
      <w:r w:rsidR="005358C3" w:rsidRPr="00765CB8">
        <w:rPr>
          <w:rFonts w:ascii="Times New Roman" w:hAnsi="Times New Roman" w:cs="Times New Roman"/>
          <w:color w:val="000000" w:themeColor="text1"/>
        </w:rPr>
        <w:t xml:space="preserve"> under the common law or the statutory schemes</w:t>
      </w:r>
      <w:r w:rsidRPr="00765CB8">
        <w:rPr>
          <w:rFonts w:ascii="Times New Roman" w:hAnsi="Times New Roman" w:cs="Times New Roman"/>
          <w:color w:val="000000" w:themeColor="text1"/>
        </w:rPr>
        <w:t xml:space="preserve"> it is thought likely </w:t>
      </w:r>
      <w:r w:rsidR="00091E7C" w:rsidRPr="00765CB8">
        <w:rPr>
          <w:rFonts w:ascii="Times New Roman" w:hAnsi="Times New Roman" w:cs="Times New Roman"/>
          <w:color w:val="000000" w:themeColor="text1"/>
        </w:rPr>
        <w:t>that any clawback in the foreign judgment would not be recognised and enforced in Scotland due to it being held to be contrary to public policy</w:t>
      </w:r>
      <w:r w:rsidRPr="00765CB8">
        <w:rPr>
          <w:rFonts w:ascii="Times New Roman" w:hAnsi="Times New Roman" w:cs="Times New Roman"/>
          <w:color w:val="000000" w:themeColor="text1"/>
        </w:rPr>
        <w:t xml:space="preserve"> </w:t>
      </w:r>
      <w:r w:rsidR="00C97AF8">
        <w:rPr>
          <w:rFonts w:ascii="Times New Roman" w:hAnsi="Times New Roman" w:cs="Times New Roman"/>
          <w:color w:val="000000" w:themeColor="text1"/>
        </w:rPr>
        <w:t>in order</w:t>
      </w:r>
      <w:r w:rsidRPr="00765CB8">
        <w:rPr>
          <w:rFonts w:ascii="Times New Roman" w:hAnsi="Times New Roman" w:cs="Times New Roman"/>
          <w:color w:val="000000" w:themeColor="text1"/>
        </w:rPr>
        <w:t xml:space="preserve"> to protect the legitimate expectations of the parties involved. </w:t>
      </w:r>
      <w:r w:rsidR="00091E7C" w:rsidRPr="00765CB8">
        <w:rPr>
          <w:rFonts w:ascii="Times New Roman" w:hAnsi="Times New Roman" w:cs="Times New Roman"/>
          <w:color w:val="000000" w:themeColor="text1"/>
        </w:rPr>
        <w:t>Of course the issue of public policy is determined in the concrete case in which recognition and enforcement is sought.</w:t>
      </w:r>
      <w:r w:rsidR="00F23E47">
        <w:rPr>
          <w:rFonts w:ascii="Times New Roman" w:hAnsi="Times New Roman" w:cs="Times New Roman"/>
          <w:color w:val="000000" w:themeColor="text1"/>
        </w:rPr>
        <w:t xml:space="preserve"> </w:t>
      </w:r>
      <w:r w:rsidR="00091E7C" w:rsidRPr="00765CB8">
        <w:rPr>
          <w:rFonts w:ascii="Times New Roman" w:hAnsi="Times New Roman" w:cs="Times New Roman"/>
          <w:color w:val="000000" w:themeColor="text1"/>
        </w:rPr>
        <w:t>It may be that in some circumstances it would not be contrary to Scottish public policy to recognise and enforce a foreign judgment ordering clawback against someone who is domiciled in Scotland. This might be the case, for example, where the testator made the gift to the donee warning the donee that it might be subject to clawback under the law of his or her nationality which he or she had already nominated as the law that would govern his or her succession.</w:t>
      </w:r>
    </w:p>
    <w:p w14:paraId="63AAFF67" w14:textId="77777777" w:rsidR="003F33F4" w:rsidRPr="00765CB8" w:rsidRDefault="003F33F4" w:rsidP="00765CB8">
      <w:pPr>
        <w:jc w:val="both"/>
        <w:rPr>
          <w:rFonts w:ascii="Times New Roman" w:hAnsi="Times New Roman" w:cs="Times New Roman"/>
          <w:color w:val="000000" w:themeColor="text1"/>
        </w:rPr>
      </w:pPr>
    </w:p>
    <w:p w14:paraId="3214F34D" w14:textId="77777777" w:rsidR="003F33F4" w:rsidRPr="00951E93" w:rsidRDefault="00951E93" w:rsidP="00765CB8">
      <w:pPr>
        <w:jc w:val="both"/>
        <w:rPr>
          <w:rFonts w:ascii="Times New Roman" w:hAnsi="Times New Roman" w:cs="Times New Roman"/>
          <w:i/>
          <w:color w:val="000000" w:themeColor="text1"/>
        </w:rPr>
      </w:pPr>
      <w:r w:rsidRPr="00951E93">
        <w:rPr>
          <w:rFonts w:ascii="Times New Roman" w:hAnsi="Times New Roman" w:cs="Times New Roman"/>
          <w:i/>
          <w:color w:val="000000" w:themeColor="text1"/>
        </w:rPr>
        <w:t xml:space="preserve">i. </w:t>
      </w:r>
      <w:r w:rsidR="003F33F4" w:rsidRPr="00951E93">
        <w:rPr>
          <w:rFonts w:ascii="Times New Roman" w:hAnsi="Times New Roman" w:cs="Times New Roman"/>
          <w:i/>
          <w:color w:val="000000" w:themeColor="text1"/>
        </w:rPr>
        <w:t xml:space="preserve">Participating Member State </w:t>
      </w:r>
      <w:r w:rsidR="008A6670" w:rsidRPr="00951E93">
        <w:rPr>
          <w:rFonts w:ascii="Times New Roman" w:hAnsi="Times New Roman" w:cs="Times New Roman"/>
          <w:i/>
          <w:color w:val="000000" w:themeColor="text1"/>
        </w:rPr>
        <w:t xml:space="preserve">nationals evading forced heirship by buying immoveable property </w:t>
      </w:r>
      <w:r w:rsidR="003F33F4" w:rsidRPr="00951E93">
        <w:rPr>
          <w:rFonts w:ascii="Times New Roman" w:hAnsi="Times New Roman" w:cs="Times New Roman"/>
          <w:i/>
          <w:color w:val="000000" w:themeColor="text1"/>
        </w:rPr>
        <w:t>in Scotland</w:t>
      </w:r>
    </w:p>
    <w:p w14:paraId="68C6A57D" w14:textId="77777777" w:rsidR="003A43C7" w:rsidRPr="00765CB8" w:rsidRDefault="00091E7C"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I</w:t>
      </w:r>
      <w:r w:rsidR="003A43C7" w:rsidRPr="00765CB8">
        <w:rPr>
          <w:rFonts w:ascii="Times New Roman" w:hAnsi="Times New Roman" w:cs="Times New Roman"/>
          <w:color w:val="000000" w:themeColor="text1"/>
        </w:rPr>
        <w:t>f national</w:t>
      </w:r>
      <w:r w:rsidR="00B21A4D" w:rsidRPr="00765CB8">
        <w:rPr>
          <w:rFonts w:ascii="Times New Roman" w:hAnsi="Times New Roman" w:cs="Times New Roman"/>
          <w:color w:val="000000" w:themeColor="text1"/>
        </w:rPr>
        <w:t>s</w:t>
      </w:r>
      <w:r w:rsidR="003A43C7" w:rsidRPr="00765CB8">
        <w:rPr>
          <w:rFonts w:ascii="Times New Roman" w:hAnsi="Times New Roman" w:cs="Times New Roman"/>
          <w:color w:val="000000" w:themeColor="text1"/>
        </w:rPr>
        <w:t xml:space="preserve"> of participating </w:t>
      </w:r>
      <w:r w:rsidR="00B21A4D" w:rsidRPr="00765CB8">
        <w:rPr>
          <w:rFonts w:ascii="Times New Roman" w:hAnsi="Times New Roman" w:cs="Times New Roman"/>
          <w:color w:val="000000" w:themeColor="text1"/>
        </w:rPr>
        <w:t>Member S</w:t>
      </w:r>
      <w:r w:rsidR="003A43C7" w:rsidRPr="00765CB8">
        <w:rPr>
          <w:rFonts w:ascii="Times New Roman" w:hAnsi="Times New Roman" w:cs="Times New Roman"/>
          <w:color w:val="000000" w:themeColor="text1"/>
        </w:rPr>
        <w:t>tate</w:t>
      </w:r>
      <w:r w:rsidR="00B21A4D" w:rsidRPr="00765CB8">
        <w:rPr>
          <w:rFonts w:ascii="Times New Roman" w:hAnsi="Times New Roman" w:cs="Times New Roman"/>
          <w:color w:val="000000" w:themeColor="text1"/>
        </w:rPr>
        <w:t>s</w:t>
      </w:r>
      <w:r w:rsidR="003A43C7" w:rsidRPr="00765CB8">
        <w:rPr>
          <w:rFonts w:ascii="Times New Roman" w:hAnsi="Times New Roman" w:cs="Times New Roman"/>
          <w:color w:val="000000" w:themeColor="text1"/>
        </w:rPr>
        <w:t xml:space="preserve"> wish to avoid </w:t>
      </w:r>
      <w:r w:rsidR="00B21A4D" w:rsidRPr="00765CB8">
        <w:rPr>
          <w:rFonts w:ascii="Times New Roman" w:hAnsi="Times New Roman" w:cs="Times New Roman"/>
          <w:color w:val="000000" w:themeColor="text1"/>
        </w:rPr>
        <w:t>some of their estate going to their forced heirs under the law of their habitual residence at death</w:t>
      </w:r>
      <w:r w:rsidR="003A43C7" w:rsidRPr="00765CB8">
        <w:rPr>
          <w:rFonts w:ascii="Times New Roman" w:hAnsi="Times New Roman" w:cs="Times New Roman"/>
          <w:color w:val="000000" w:themeColor="text1"/>
        </w:rPr>
        <w:t xml:space="preserve"> </w:t>
      </w:r>
      <w:r w:rsidR="00B21A4D" w:rsidRPr="00765CB8">
        <w:rPr>
          <w:rFonts w:ascii="Times New Roman" w:hAnsi="Times New Roman" w:cs="Times New Roman"/>
          <w:color w:val="000000" w:themeColor="text1"/>
        </w:rPr>
        <w:t xml:space="preserve">under the </w:t>
      </w:r>
      <w:r w:rsidRPr="00765CB8">
        <w:rPr>
          <w:rFonts w:ascii="Times New Roman" w:hAnsi="Times New Roman" w:cs="Times New Roman"/>
          <w:color w:val="000000" w:themeColor="text1"/>
        </w:rPr>
        <w:t xml:space="preserve">Succession </w:t>
      </w:r>
      <w:r w:rsidR="00520609" w:rsidRPr="00765CB8">
        <w:rPr>
          <w:rFonts w:ascii="Times New Roman" w:hAnsi="Times New Roman" w:cs="Times New Roman"/>
          <w:color w:val="000000" w:themeColor="text1"/>
        </w:rPr>
        <w:t>Regulation,</w:t>
      </w:r>
      <w:r w:rsidR="00B21A4D" w:rsidRPr="00765CB8">
        <w:rPr>
          <w:rFonts w:ascii="Times New Roman" w:hAnsi="Times New Roman" w:cs="Times New Roman"/>
          <w:color w:val="000000" w:themeColor="text1"/>
        </w:rPr>
        <w:t xml:space="preserve"> </w:t>
      </w:r>
      <w:r w:rsidR="003A43C7" w:rsidRPr="00765CB8">
        <w:rPr>
          <w:rFonts w:ascii="Times New Roman" w:hAnsi="Times New Roman" w:cs="Times New Roman"/>
          <w:color w:val="000000" w:themeColor="text1"/>
        </w:rPr>
        <w:t xml:space="preserve">then it is possible that they could invest in </w:t>
      </w:r>
      <w:r w:rsidR="00B21A4D" w:rsidRPr="00765CB8">
        <w:rPr>
          <w:rFonts w:ascii="Times New Roman" w:hAnsi="Times New Roman" w:cs="Times New Roman"/>
          <w:color w:val="000000" w:themeColor="text1"/>
        </w:rPr>
        <w:t xml:space="preserve">immoveable </w:t>
      </w:r>
      <w:r w:rsidR="003A43C7" w:rsidRPr="00765CB8">
        <w:rPr>
          <w:rFonts w:ascii="Times New Roman" w:hAnsi="Times New Roman" w:cs="Times New Roman"/>
          <w:color w:val="000000" w:themeColor="text1"/>
        </w:rPr>
        <w:t>property in the UK</w:t>
      </w:r>
      <w:r w:rsidR="00B21A4D" w:rsidRPr="00765CB8">
        <w:rPr>
          <w:rFonts w:ascii="Times New Roman" w:hAnsi="Times New Roman" w:cs="Times New Roman"/>
          <w:color w:val="000000" w:themeColor="text1"/>
        </w:rPr>
        <w:t>. If they</w:t>
      </w:r>
      <w:r w:rsidR="003A43C7" w:rsidRPr="00765CB8">
        <w:rPr>
          <w:rFonts w:ascii="Times New Roman" w:hAnsi="Times New Roman" w:cs="Times New Roman"/>
          <w:color w:val="000000" w:themeColor="text1"/>
        </w:rPr>
        <w:t xml:space="preserve"> </w:t>
      </w:r>
      <w:r w:rsidR="00B21A4D" w:rsidRPr="00765CB8">
        <w:rPr>
          <w:rFonts w:ascii="Times New Roman" w:hAnsi="Times New Roman" w:cs="Times New Roman"/>
          <w:color w:val="000000" w:themeColor="text1"/>
        </w:rPr>
        <w:t>make a will leaving their UK immoveable property to people other than their forced heirs under the law of their habitual residence at death, then under the laws of the different parts of the UK testators are free to leave their immoveable property to whomever they will</w:t>
      </w:r>
      <w:r w:rsidR="003A43C7" w:rsidRPr="00765CB8">
        <w:rPr>
          <w:rFonts w:ascii="Times New Roman" w:hAnsi="Times New Roman" w:cs="Times New Roman"/>
          <w:color w:val="000000" w:themeColor="text1"/>
        </w:rPr>
        <w:t>.</w:t>
      </w:r>
      <w:r w:rsidR="00F23E47">
        <w:rPr>
          <w:rFonts w:ascii="Times New Roman" w:hAnsi="Times New Roman" w:cs="Times New Roman"/>
          <w:color w:val="000000" w:themeColor="text1"/>
        </w:rPr>
        <w:t xml:space="preserve"> </w:t>
      </w:r>
      <w:r w:rsidR="0025694D" w:rsidRPr="00765CB8">
        <w:rPr>
          <w:rFonts w:ascii="Times New Roman" w:hAnsi="Times New Roman" w:cs="Times New Roman"/>
          <w:color w:val="000000" w:themeColor="text1"/>
        </w:rPr>
        <w:t>In this situation the law of the relevant part of the UK would prevail over the law of the habitual residence at death in relation to the immoveable property because only the authorities in the place of the immoveable property can enforce obligations in relation to that property.</w:t>
      </w:r>
      <w:r w:rsidR="0025694D" w:rsidRPr="00765CB8">
        <w:rPr>
          <w:rStyle w:val="FootnoteReference"/>
          <w:rFonts w:ascii="Times New Roman" w:hAnsi="Times New Roman" w:cs="Times New Roman"/>
          <w:color w:val="000000" w:themeColor="text1"/>
        </w:rPr>
        <w:footnoteReference w:id="31"/>
      </w:r>
    </w:p>
    <w:p w14:paraId="27C7A86B" w14:textId="77777777" w:rsidR="003A43C7" w:rsidRPr="00765CB8" w:rsidRDefault="003A43C7" w:rsidP="00765CB8">
      <w:pPr>
        <w:jc w:val="both"/>
        <w:rPr>
          <w:rFonts w:ascii="Times New Roman" w:hAnsi="Times New Roman" w:cs="Times New Roman"/>
          <w:color w:val="000000" w:themeColor="text1"/>
        </w:rPr>
      </w:pPr>
    </w:p>
    <w:p w14:paraId="3194DBF3" w14:textId="77777777" w:rsidR="00B06FE5" w:rsidRPr="00765CB8" w:rsidRDefault="00B06FE5" w:rsidP="00765CB8">
      <w:pPr>
        <w:jc w:val="both"/>
        <w:rPr>
          <w:rFonts w:ascii="Times New Roman" w:hAnsi="Times New Roman" w:cs="Times New Roman"/>
          <w:color w:val="000000" w:themeColor="text1"/>
        </w:rPr>
      </w:pPr>
    </w:p>
    <w:p w14:paraId="04A3B751" w14:textId="0A6A78A4" w:rsidR="002D53C2" w:rsidRDefault="00951E93" w:rsidP="00765CB8">
      <w:pPr>
        <w:jc w:val="both"/>
        <w:rPr>
          <w:rFonts w:ascii="Times New Roman" w:hAnsi="Times New Roman" w:cs="Times New Roman"/>
          <w:i/>
          <w:color w:val="000000" w:themeColor="text1"/>
        </w:rPr>
      </w:pPr>
      <w:r w:rsidRPr="00951E93">
        <w:rPr>
          <w:rFonts w:ascii="Times New Roman" w:hAnsi="Times New Roman" w:cs="Times New Roman"/>
          <w:i/>
          <w:color w:val="000000" w:themeColor="text1"/>
        </w:rPr>
        <w:t xml:space="preserve">ii. </w:t>
      </w:r>
      <w:r w:rsidR="00591210" w:rsidRPr="00951E93">
        <w:rPr>
          <w:rFonts w:ascii="Times New Roman" w:hAnsi="Times New Roman" w:cs="Times New Roman"/>
          <w:i/>
          <w:color w:val="000000" w:themeColor="text1"/>
        </w:rPr>
        <w:t xml:space="preserve">Areas of </w:t>
      </w:r>
      <w:r w:rsidR="008A6670" w:rsidRPr="00951E93">
        <w:rPr>
          <w:rFonts w:ascii="Times New Roman" w:hAnsi="Times New Roman" w:cs="Times New Roman"/>
          <w:i/>
          <w:color w:val="000000" w:themeColor="text1"/>
        </w:rPr>
        <w:t xml:space="preserve">concern </w:t>
      </w:r>
      <w:r w:rsidR="00591210" w:rsidRPr="00951E93">
        <w:rPr>
          <w:rFonts w:ascii="Times New Roman" w:hAnsi="Times New Roman" w:cs="Times New Roman"/>
          <w:i/>
          <w:color w:val="000000" w:themeColor="text1"/>
        </w:rPr>
        <w:t>to the United Kingdom</w:t>
      </w:r>
    </w:p>
    <w:p w14:paraId="58C5BCC4" w14:textId="77777777" w:rsidR="00D466A1" w:rsidRPr="00D466A1" w:rsidRDefault="00D466A1" w:rsidP="00765CB8">
      <w:pPr>
        <w:jc w:val="both"/>
        <w:rPr>
          <w:rFonts w:ascii="Times New Roman" w:hAnsi="Times New Roman" w:cs="Times New Roman"/>
          <w:i/>
          <w:color w:val="000000" w:themeColor="text1"/>
        </w:rPr>
      </w:pPr>
    </w:p>
    <w:p w14:paraId="17BC4936" w14:textId="77777777" w:rsidR="001A0AB1" w:rsidRPr="00765CB8" w:rsidRDefault="00951E93" w:rsidP="00951E93">
      <w:pPr>
        <w:pStyle w:val="ListParagraph"/>
        <w:ind w:left="0"/>
        <w:jc w:val="both"/>
        <w:rPr>
          <w:rFonts w:ascii="Times New Roman" w:hAnsi="Times New Roman" w:cs="Times New Roman"/>
          <w:color w:val="000000" w:themeColor="text1"/>
        </w:rPr>
      </w:pPr>
      <w:r>
        <w:rPr>
          <w:rFonts w:ascii="Times New Roman" w:hAnsi="Times New Roman" w:cs="Times New Roman"/>
          <w:color w:val="000000" w:themeColor="text1"/>
        </w:rPr>
        <w:t xml:space="preserve">a) </w:t>
      </w:r>
      <w:r w:rsidR="00DA02DD" w:rsidRPr="00765CB8">
        <w:rPr>
          <w:rFonts w:ascii="Times New Roman" w:hAnsi="Times New Roman" w:cs="Times New Roman"/>
          <w:color w:val="000000" w:themeColor="text1"/>
        </w:rPr>
        <w:t xml:space="preserve">Habitual </w:t>
      </w:r>
      <w:r w:rsidR="008A6670" w:rsidRPr="00765CB8">
        <w:rPr>
          <w:rFonts w:ascii="Times New Roman" w:hAnsi="Times New Roman" w:cs="Times New Roman"/>
          <w:color w:val="000000" w:themeColor="text1"/>
        </w:rPr>
        <w:t>residence</w:t>
      </w:r>
    </w:p>
    <w:p w14:paraId="2D516B98" w14:textId="77777777" w:rsidR="002E283F" w:rsidRPr="00765CB8" w:rsidRDefault="002E283F" w:rsidP="00765CB8">
      <w:pPr>
        <w:jc w:val="both"/>
        <w:rPr>
          <w:rFonts w:ascii="Times New Roman" w:hAnsi="Times New Roman" w:cs="Times New Roman"/>
          <w:color w:val="000000" w:themeColor="text1"/>
        </w:rPr>
      </w:pPr>
    </w:p>
    <w:p w14:paraId="27996AEE" w14:textId="71649475" w:rsidR="005C462A" w:rsidRDefault="00A7197D"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lastRenderedPageBreak/>
        <w:t>In 2009 the European Commission put forward a proposal to simplify the settlement of international successions and to make the rules governing them more predictable.</w:t>
      </w:r>
      <w:r w:rsidRPr="00765CB8">
        <w:rPr>
          <w:rStyle w:val="FootnoteReference"/>
          <w:rFonts w:ascii="Times New Roman" w:hAnsi="Times New Roman" w:cs="Times New Roman"/>
          <w:color w:val="000000" w:themeColor="text1"/>
        </w:rPr>
        <w:footnoteReference w:id="32"/>
      </w:r>
      <w:r w:rsidRPr="00765CB8">
        <w:rPr>
          <w:rFonts w:ascii="Times New Roman" w:hAnsi="Times New Roman" w:cs="Times New Roman"/>
          <w:color w:val="000000" w:themeColor="text1"/>
        </w:rPr>
        <w:t xml:space="preserve"> The Commission proposed the use of the last habitual residence of the deceased as the connecting factor to determine </w:t>
      </w:r>
      <w:r w:rsidR="009E7C67" w:rsidRPr="00765CB8">
        <w:rPr>
          <w:rFonts w:ascii="Times New Roman" w:hAnsi="Times New Roman" w:cs="Times New Roman"/>
          <w:color w:val="000000" w:themeColor="text1"/>
        </w:rPr>
        <w:t xml:space="preserve">both the jurisdiction and </w:t>
      </w:r>
      <w:r w:rsidRPr="00765CB8">
        <w:rPr>
          <w:rFonts w:ascii="Times New Roman" w:hAnsi="Times New Roman" w:cs="Times New Roman"/>
          <w:color w:val="000000" w:themeColor="text1"/>
        </w:rPr>
        <w:t>the applicable law.</w:t>
      </w:r>
      <w:r w:rsidRPr="00765CB8">
        <w:rPr>
          <w:rStyle w:val="FootnoteReference"/>
          <w:rFonts w:ascii="Times New Roman" w:hAnsi="Times New Roman" w:cs="Times New Roman"/>
          <w:color w:val="000000" w:themeColor="text1"/>
        </w:rPr>
        <w:footnoteReference w:id="33"/>
      </w:r>
      <w:r w:rsidRPr="00765CB8">
        <w:rPr>
          <w:rFonts w:ascii="Times New Roman" w:hAnsi="Times New Roman" w:cs="Times New Roman"/>
          <w:color w:val="000000" w:themeColor="text1"/>
        </w:rPr>
        <w:t xml:space="preserve"> It was suggested that by using habitual residence as the connecting factor t</w:t>
      </w:r>
      <w:r w:rsidR="00A24BAC" w:rsidRPr="00765CB8">
        <w:rPr>
          <w:rFonts w:ascii="Times New Roman" w:hAnsi="Times New Roman" w:cs="Times New Roman"/>
          <w:color w:val="000000" w:themeColor="text1"/>
        </w:rPr>
        <w:t xml:space="preserve">o determine the applicable law </w:t>
      </w:r>
      <w:r w:rsidR="008B632F">
        <w:rPr>
          <w:rFonts w:ascii="Times New Roman" w:hAnsi="Times New Roman" w:cs="Times New Roman"/>
          <w:color w:val="000000" w:themeColor="text1"/>
        </w:rPr>
        <w:t>‘</w:t>
      </w:r>
      <w:r w:rsidRPr="00765CB8">
        <w:rPr>
          <w:rFonts w:ascii="Times New Roman" w:hAnsi="Times New Roman" w:cs="Times New Roman"/>
          <w:color w:val="000000" w:themeColor="text1"/>
        </w:rPr>
        <w:t>we are offering greater legal certainty and greater flexibility, enabling people to conte</w:t>
      </w:r>
      <w:r w:rsidR="00E34736">
        <w:rPr>
          <w:rFonts w:ascii="Times New Roman" w:hAnsi="Times New Roman" w:cs="Times New Roman"/>
          <w:color w:val="000000" w:themeColor="text1"/>
        </w:rPr>
        <w:t>mplate the future more serenely</w:t>
      </w:r>
      <w:r w:rsidR="008B632F">
        <w:rPr>
          <w:rFonts w:ascii="Times New Roman" w:hAnsi="Times New Roman" w:cs="Times New Roman"/>
          <w:color w:val="000000" w:themeColor="text1"/>
        </w:rPr>
        <w:t>’</w:t>
      </w:r>
      <w:r w:rsidR="00E34736">
        <w:rPr>
          <w:rFonts w:ascii="Times New Roman" w:hAnsi="Times New Roman" w:cs="Times New Roman"/>
          <w:color w:val="000000" w:themeColor="text1"/>
        </w:rPr>
        <w:t>.</w:t>
      </w:r>
      <w:r w:rsidRPr="00765CB8">
        <w:rPr>
          <w:rStyle w:val="FootnoteReference"/>
          <w:rFonts w:ascii="Times New Roman" w:hAnsi="Times New Roman" w:cs="Times New Roman"/>
          <w:color w:val="000000" w:themeColor="text1"/>
        </w:rPr>
        <w:footnoteReference w:id="34"/>
      </w:r>
      <w:r w:rsidRPr="00765CB8">
        <w:rPr>
          <w:rFonts w:ascii="Times New Roman" w:hAnsi="Times New Roman" w:cs="Times New Roman"/>
          <w:color w:val="000000" w:themeColor="text1"/>
        </w:rPr>
        <w:t xml:space="preserve"> The Commission’s reasoning was that the existence of scission within certain States, where moveable property is governed by one law and immoveable property is governed by </w:t>
      </w:r>
      <w:r w:rsidR="00922B7F" w:rsidRPr="00765CB8">
        <w:rPr>
          <w:rFonts w:ascii="Times New Roman" w:hAnsi="Times New Roman" w:cs="Times New Roman"/>
          <w:color w:val="000000" w:themeColor="text1"/>
        </w:rPr>
        <w:t>the law or laws of the place or places where the immoveable property is situated,</w:t>
      </w:r>
      <w:r w:rsidRPr="00765CB8">
        <w:rPr>
          <w:rFonts w:ascii="Times New Roman" w:hAnsi="Times New Roman" w:cs="Times New Roman"/>
          <w:color w:val="000000" w:themeColor="text1"/>
        </w:rPr>
        <w:t xml:space="preserve"> created many difficulties in international succession cases such as where the different laws pointed to different heirs, or differences in the division of the succession.</w:t>
      </w:r>
      <w:r w:rsidRPr="00765CB8">
        <w:rPr>
          <w:rStyle w:val="FootnoteReference"/>
          <w:rFonts w:ascii="Times New Roman" w:hAnsi="Times New Roman" w:cs="Times New Roman"/>
          <w:color w:val="000000" w:themeColor="text1"/>
        </w:rPr>
        <w:footnoteReference w:id="35"/>
      </w:r>
      <w:r w:rsidRPr="00765CB8">
        <w:rPr>
          <w:rFonts w:ascii="Times New Roman" w:hAnsi="Times New Roman" w:cs="Times New Roman"/>
          <w:color w:val="000000" w:themeColor="text1"/>
        </w:rPr>
        <w:t xml:space="preserve"> The abolition of the system of scission was therefore considered to be beneficial and the proposal for a single connecting factor to determine the applicable law</w:t>
      </w:r>
      <w:r w:rsidR="00110423" w:rsidRPr="00765CB8">
        <w:rPr>
          <w:rFonts w:ascii="Times New Roman" w:hAnsi="Times New Roman" w:cs="Times New Roman"/>
          <w:color w:val="000000" w:themeColor="text1"/>
        </w:rPr>
        <w:t xml:space="preserve"> to succession was put forward.</w:t>
      </w:r>
    </w:p>
    <w:p w14:paraId="43A7F597" w14:textId="77777777" w:rsidR="00BE4200" w:rsidRPr="00765CB8" w:rsidRDefault="00BE4200" w:rsidP="00765CB8">
      <w:pPr>
        <w:jc w:val="both"/>
        <w:rPr>
          <w:rFonts w:ascii="Times New Roman" w:hAnsi="Times New Roman" w:cs="Times New Roman"/>
          <w:color w:val="000000" w:themeColor="text1"/>
        </w:rPr>
      </w:pPr>
    </w:p>
    <w:p w14:paraId="1D85867D" w14:textId="1D6FFD07" w:rsidR="005C462A" w:rsidRDefault="00702C16"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Therefore, u</w:t>
      </w:r>
      <w:r w:rsidR="00E34736">
        <w:rPr>
          <w:rFonts w:ascii="Times New Roman" w:hAnsi="Times New Roman" w:cs="Times New Roman"/>
          <w:color w:val="000000" w:themeColor="text1"/>
        </w:rPr>
        <w:t xml:space="preserve">nder the Succession Regulation </w:t>
      </w:r>
      <w:r w:rsidR="008B632F">
        <w:rPr>
          <w:rFonts w:ascii="Times New Roman" w:hAnsi="Times New Roman" w:cs="Times New Roman"/>
          <w:color w:val="000000" w:themeColor="text1"/>
        </w:rPr>
        <w:t>‘</w:t>
      </w:r>
      <w:r w:rsidR="00AB5216" w:rsidRPr="00765CB8">
        <w:rPr>
          <w:rFonts w:ascii="Times New Roman" w:hAnsi="Times New Roman" w:cs="Times New Roman"/>
          <w:color w:val="000000" w:themeColor="text1"/>
        </w:rPr>
        <w:t>the courts of the Member State where the deceased had his habitual residence at the time of his death has jurisdiction to ru</w:t>
      </w:r>
      <w:r w:rsidR="00E34736">
        <w:rPr>
          <w:rFonts w:ascii="Times New Roman" w:hAnsi="Times New Roman" w:cs="Times New Roman"/>
          <w:color w:val="000000" w:themeColor="text1"/>
        </w:rPr>
        <w:t>le on the succession as a whole</w:t>
      </w:r>
      <w:r w:rsidR="008B632F">
        <w:rPr>
          <w:rFonts w:ascii="Times New Roman" w:hAnsi="Times New Roman" w:cs="Times New Roman"/>
          <w:color w:val="000000" w:themeColor="text1"/>
        </w:rPr>
        <w:t>’</w:t>
      </w:r>
      <w:r w:rsidR="00AB5216" w:rsidRPr="00765CB8">
        <w:rPr>
          <w:rFonts w:ascii="Times New Roman" w:hAnsi="Times New Roman" w:cs="Times New Roman"/>
          <w:color w:val="000000" w:themeColor="text1"/>
        </w:rPr>
        <w:t>.</w:t>
      </w:r>
      <w:r w:rsidR="00AB5216" w:rsidRPr="00765CB8">
        <w:rPr>
          <w:rStyle w:val="FootnoteReference"/>
          <w:rFonts w:ascii="Times New Roman" w:hAnsi="Times New Roman" w:cs="Times New Roman"/>
          <w:color w:val="000000" w:themeColor="text1"/>
        </w:rPr>
        <w:footnoteReference w:id="36"/>
      </w:r>
      <w:r w:rsidR="00AB5216" w:rsidRPr="00765CB8">
        <w:rPr>
          <w:rFonts w:ascii="Times New Roman" w:hAnsi="Times New Roman" w:cs="Times New Roman"/>
          <w:color w:val="000000" w:themeColor="text1"/>
        </w:rPr>
        <w:t xml:space="preserve"> The general choice of law rule </w:t>
      </w:r>
      <w:r w:rsidR="00DA02DD" w:rsidRPr="00765CB8">
        <w:rPr>
          <w:rFonts w:ascii="Times New Roman" w:hAnsi="Times New Roman" w:cs="Times New Roman"/>
          <w:color w:val="000000" w:themeColor="text1"/>
        </w:rPr>
        <w:t xml:space="preserve">in the Succession Regulation </w:t>
      </w:r>
      <w:r w:rsidR="00AB5216" w:rsidRPr="00765CB8">
        <w:rPr>
          <w:rFonts w:ascii="Times New Roman" w:hAnsi="Times New Roman" w:cs="Times New Roman"/>
          <w:color w:val="000000" w:themeColor="text1"/>
        </w:rPr>
        <w:t xml:space="preserve">is that the law applicable to the whole estate will be the law of the </w:t>
      </w:r>
      <w:r w:rsidR="00922B7F" w:rsidRPr="00765CB8">
        <w:rPr>
          <w:rFonts w:ascii="Times New Roman" w:hAnsi="Times New Roman" w:cs="Times New Roman"/>
          <w:color w:val="000000" w:themeColor="text1"/>
        </w:rPr>
        <w:t>S</w:t>
      </w:r>
      <w:r w:rsidR="00AB5216" w:rsidRPr="00765CB8">
        <w:rPr>
          <w:rFonts w:ascii="Times New Roman" w:hAnsi="Times New Roman" w:cs="Times New Roman"/>
          <w:color w:val="000000" w:themeColor="text1"/>
        </w:rPr>
        <w:t xml:space="preserve">tate </w:t>
      </w:r>
      <w:r w:rsidRPr="00765CB8">
        <w:rPr>
          <w:rFonts w:ascii="Times New Roman" w:hAnsi="Times New Roman" w:cs="Times New Roman"/>
          <w:color w:val="000000" w:themeColor="text1"/>
        </w:rPr>
        <w:t>w</w:t>
      </w:r>
      <w:r w:rsidR="00AB5216" w:rsidRPr="00765CB8">
        <w:rPr>
          <w:rFonts w:ascii="Times New Roman" w:hAnsi="Times New Roman" w:cs="Times New Roman"/>
          <w:color w:val="000000" w:themeColor="text1"/>
        </w:rPr>
        <w:t xml:space="preserve">here the deceased had his </w:t>
      </w:r>
      <w:r w:rsidR="009A0175" w:rsidRPr="00765CB8">
        <w:rPr>
          <w:rFonts w:ascii="Times New Roman" w:hAnsi="Times New Roman" w:cs="Times New Roman"/>
          <w:color w:val="000000" w:themeColor="text1"/>
        </w:rPr>
        <w:t xml:space="preserve">or her </w:t>
      </w:r>
      <w:r w:rsidR="00AB5216" w:rsidRPr="00765CB8">
        <w:rPr>
          <w:rFonts w:ascii="Times New Roman" w:hAnsi="Times New Roman" w:cs="Times New Roman"/>
          <w:color w:val="000000" w:themeColor="text1"/>
        </w:rPr>
        <w:t>habitual residence at the time of death.</w:t>
      </w:r>
      <w:r w:rsidR="00AB5216" w:rsidRPr="00765CB8">
        <w:rPr>
          <w:rStyle w:val="FootnoteReference"/>
          <w:rFonts w:ascii="Times New Roman" w:hAnsi="Times New Roman" w:cs="Times New Roman"/>
          <w:color w:val="000000" w:themeColor="text1"/>
        </w:rPr>
        <w:footnoteReference w:id="37"/>
      </w:r>
      <w:r w:rsidR="00AB5216" w:rsidRPr="00765CB8">
        <w:rPr>
          <w:rFonts w:ascii="Times New Roman" w:hAnsi="Times New Roman" w:cs="Times New Roman"/>
          <w:color w:val="000000" w:themeColor="text1"/>
        </w:rPr>
        <w:t xml:space="preserve"> </w:t>
      </w:r>
      <w:r w:rsidR="00922B7F" w:rsidRPr="00765CB8">
        <w:rPr>
          <w:rFonts w:ascii="Times New Roman" w:hAnsi="Times New Roman" w:cs="Times New Roman"/>
          <w:color w:val="000000" w:themeColor="text1"/>
        </w:rPr>
        <w:t>One</w:t>
      </w:r>
      <w:r w:rsidR="00AB5216" w:rsidRPr="00765CB8">
        <w:rPr>
          <w:rFonts w:ascii="Times New Roman" w:hAnsi="Times New Roman" w:cs="Times New Roman"/>
          <w:color w:val="000000" w:themeColor="text1"/>
        </w:rPr>
        <w:t xml:space="preserve"> exception to this </w:t>
      </w:r>
      <w:r w:rsidR="00922B7F" w:rsidRPr="00765CB8">
        <w:rPr>
          <w:rFonts w:ascii="Times New Roman" w:hAnsi="Times New Roman" w:cs="Times New Roman"/>
          <w:color w:val="000000" w:themeColor="text1"/>
        </w:rPr>
        <w:t>is</w:t>
      </w:r>
      <w:r w:rsidR="00AB5216" w:rsidRPr="00765CB8">
        <w:rPr>
          <w:rFonts w:ascii="Times New Roman" w:hAnsi="Times New Roman" w:cs="Times New Roman"/>
          <w:color w:val="000000" w:themeColor="text1"/>
        </w:rPr>
        <w:t xml:space="preserve"> where it is clear that the deceased was manifestly more closely connected to another State </w:t>
      </w:r>
      <w:r w:rsidR="00922B7F" w:rsidRPr="00765CB8">
        <w:rPr>
          <w:rFonts w:ascii="Times New Roman" w:hAnsi="Times New Roman" w:cs="Times New Roman"/>
          <w:color w:val="000000" w:themeColor="text1"/>
        </w:rPr>
        <w:t xml:space="preserve">than the State of his or her habitual residence </w:t>
      </w:r>
      <w:r w:rsidR="00AB5216" w:rsidRPr="00765CB8">
        <w:rPr>
          <w:rFonts w:ascii="Times New Roman" w:hAnsi="Times New Roman" w:cs="Times New Roman"/>
          <w:color w:val="000000" w:themeColor="text1"/>
        </w:rPr>
        <w:t>at the time of his death.</w:t>
      </w:r>
      <w:r w:rsidR="00AB5216" w:rsidRPr="00765CB8">
        <w:rPr>
          <w:rStyle w:val="FootnoteReference"/>
          <w:rFonts w:ascii="Times New Roman" w:hAnsi="Times New Roman" w:cs="Times New Roman"/>
          <w:color w:val="000000" w:themeColor="text1"/>
        </w:rPr>
        <w:footnoteReference w:id="38"/>
      </w:r>
      <w:r w:rsidR="00AB5216" w:rsidRPr="00765CB8">
        <w:rPr>
          <w:rFonts w:ascii="Times New Roman" w:hAnsi="Times New Roman" w:cs="Times New Roman"/>
          <w:color w:val="000000" w:themeColor="text1"/>
        </w:rPr>
        <w:t xml:space="preserve"> </w:t>
      </w:r>
      <w:r w:rsidR="00922B7F" w:rsidRPr="00765CB8">
        <w:rPr>
          <w:rFonts w:ascii="Times New Roman" w:hAnsi="Times New Roman" w:cs="Times New Roman"/>
          <w:color w:val="000000" w:themeColor="text1"/>
        </w:rPr>
        <w:t xml:space="preserve">Another exception accommodates a degree </w:t>
      </w:r>
      <w:r w:rsidR="00AB5216" w:rsidRPr="00765CB8">
        <w:rPr>
          <w:rFonts w:ascii="Times New Roman" w:hAnsi="Times New Roman" w:cs="Times New Roman"/>
          <w:color w:val="000000" w:themeColor="text1"/>
        </w:rPr>
        <w:t>of party autonomy</w:t>
      </w:r>
      <w:r w:rsidR="00922B7F" w:rsidRPr="00765CB8">
        <w:rPr>
          <w:rFonts w:ascii="Times New Roman" w:hAnsi="Times New Roman" w:cs="Times New Roman"/>
          <w:color w:val="000000" w:themeColor="text1"/>
        </w:rPr>
        <w:t>.</w:t>
      </w:r>
      <w:r w:rsidR="00AB5216" w:rsidRPr="00765CB8">
        <w:rPr>
          <w:rFonts w:ascii="Times New Roman" w:hAnsi="Times New Roman" w:cs="Times New Roman"/>
          <w:color w:val="000000" w:themeColor="text1"/>
        </w:rPr>
        <w:t xml:space="preserve"> Article 22(1) allows a testator to choose </w:t>
      </w:r>
      <w:r w:rsidR="00C97AF8">
        <w:rPr>
          <w:rFonts w:ascii="Times New Roman" w:hAnsi="Times New Roman" w:cs="Times New Roman"/>
          <w:color w:val="000000" w:themeColor="text1"/>
        </w:rPr>
        <w:t xml:space="preserve">as </w:t>
      </w:r>
      <w:r w:rsidR="00AB5216" w:rsidRPr="00765CB8">
        <w:rPr>
          <w:rFonts w:ascii="Times New Roman" w:hAnsi="Times New Roman" w:cs="Times New Roman"/>
          <w:color w:val="000000" w:themeColor="text1"/>
        </w:rPr>
        <w:t xml:space="preserve">the law to govern his succession as a whole, the law of the State whose nationality he possesses at the time of making the choice </w:t>
      </w:r>
      <w:r w:rsidR="00922B7F" w:rsidRPr="00765CB8">
        <w:rPr>
          <w:rFonts w:ascii="Times New Roman" w:hAnsi="Times New Roman" w:cs="Times New Roman"/>
          <w:color w:val="000000" w:themeColor="text1"/>
        </w:rPr>
        <w:t xml:space="preserve">or </w:t>
      </w:r>
      <w:r w:rsidR="00AB5216" w:rsidRPr="00765CB8">
        <w:rPr>
          <w:rFonts w:ascii="Times New Roman" w:hAnsi="Times New Roman" w:cs="Times New Roman"/>
          <w:color w:val="000000" w:themeColor="text1"/>
        </w:rPr>
        <w:t>at the time of death.</w:t>
      </w:r>
      <w:r w:rsidR="00F23E47">
        <w:rPr>
          <w:rFonts w:ascii="Times New Roman" w:hAnsi="Times New Roman" w:cs="Times New Roman"/>
          <w:color w:val="000000" w:themeColor="text1"/>
        </w:rPr>
        <w:t xml:space="preserve"> </w:t>
      </w:r>
      <w:r w:rsidR="00922B7F" w:rsidRPr="00765CB8">
        <w:rPr>
          <w:rFonts w:ascii="Times New Roman" w:hAnsi="Times New Roman" w:cs="Times New Roman"/>
          <w:color w:val="000000" w:themeColor="text1"/>
        </w:rPr>
        <w:t>This exception has been discussed in some depth above.</w:t>
      </w:r>
    </w:p>
    <w:p w14:paraId="26851AB7" w14:textId="77777777" w:rsidR="00BE4200" w:rsidRPr="00765CB8" w:rsidRDefault="00BE4200" w:rsidP="00765CB8">
      <w:pPr>
        <w:jc w:val="both"/>
        <w:rPr>
          <w:rFonts w:ascii="Times New Roman" w:hAnsi="Times New Roman" w:cs="Times New Roman"/>
          <w:color w:val="000000" w:themeColor="text1"/>
        </w:rPr>
      </w:pPr>
    </w:p>
    <w:p w14:paraId="5B5EA5E3" w14:textId="25B1D370" w:rsidR="005C462A" w:rsidRDefault="00DA02DD"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Yet</w:t>
      </w:r>
      <w:r w:rsidR="00A7197D" w:rsidRPr="00765CB8">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 xml:space="preserve">it is recognised that the concept of </w:t>
      </w:r>
      <w:r w:rsidR="00A7197D" w:rsidRPr="00765CB8">
        <w:rPr>
          <w:rFonts w:ascii="Times New Roman" w:hAnsi="Times New Roman" w:cs="Times New Roman"/>
          <w:color w:val="000000" w:themeColor="text1"/>
        </w:rPr>
        <w:t>h</w:t>
      </w:r>
      <w:r w:rsidR="001A0AB1" w:rsidRPr="00765CB8">
        <w:rPr>
          <w:rFonts w:ascii="Times New Roman" w:hAnsi="Times New Roman" w:cs="Times New Roman"/>
          <w:color w:val="000000" w:themeColor="text1"/>
        </w:rPr>
        <w:t>abitual residence is more commonly used to establish jurisdiction rather than to determine the applicable law.</w:t>
      </w:r>
      <w:r w:rsidR="001A0AB1" w:rsidRPr="00765CB8">
        <w:rPr>
          <w:rStyle w:val="FootnoteReference"/>
          <w:rFonts w:ascii="Times New Roman" w:hAnsi="Times New Roman" w:cs="Times New Roman"/>
          <w:color w:val="000000" w:themeColor="text1"/>
        </w:rPr>
        <w:footnoteReference w:id="39"/>
      </w:r>
      <w:r w:rsidR="001A0AB1" w:rsidRPr="00765CB8">
        <w:rPr>
          <w:rFonts w:ascii="Times New Roman" w:hAnsi="Times New Roman" w:cs="Times New Roman"/>
          <w:color w:val="000000" w:themeColor="text1"/>
        </w:rPr>
        <w:t xml:space="preserve"> It is </w:t>
      </w:r>
      <w:r w:rsidR="00AB48D2">
        <w:rPr>
          <w:rFonts w:ascii="Times New Roman" w:hAnsi="Times New Roman" w:cs="Times New Roman"/>
          <w:color w:val="000000" w:themeColor="text1"/>
        </w:rPr>
        <w:t xml:space="preserve">also </w:t>
      </w:r>
      <w:r w:rsidR="001A0AB1" w:rsidRPr="00765CB8">
        <w:rPr>
          <w:rFonts w:ascii="Times New Roman" w:hAnsi="Times New Roman" w:cs="Times New Roman"/>
          <w:color w:val="000000" w:themeColor="text1"/>
        </w:rPr>
        <w:t xml:space="preserve">considered to be unsuitable as </w:t>
      </w:r>
      <w:r w:rsidR="00922B7F" w:rsidRPr="00765CB8">
        <w:rPr>
          <w:rFonts w:ascii="Times New Roman" w:hAnsi="Times New Roman" w:cs="Times New Roman"/>
          <w:color w:val="000000" w:themeColor="text1"/>
        </w:rPr>
        <w:t>the sole</w:t>
      </w:r>
      <w:r w:rsidR="001A0AB1" w:rsidRPr="00765CB8">
        <w:rPr>
          <w:rFonts w:ascii="Times New Roman" w:hAnsi="Times New Roman" w:cs="Times New Roman"/>
          <w:color w:val="000000" w:themeColor="text1"/>
        </w:rPr>
        <w:t xml:space="preserve"> connecting factor for determini</w:t>
      </w:r>
      <w:r w:rsidR="00922B7F" w:rsidRPr="00765CB8">
        <w:rPr>
          <w:rFonts w:ascii="Times New Roman" w:hAnsi="Times New Roman" w:cs="Times New Roman"/>
          <w:color w:val="000000" w:themeColor="text1"/>
        </w:rPr>
        <w:t>ng the applicable law as it will not work if the person has no habitual residence or has more than one habitual residence</w:t>
      </w:r>
      <w:r w:rsidR="001A0AB1" w:rsidRPr="00765CB8">
        <w:rPr>
          <w:rFonts w:ascii="Times New Roman" w:hAnsi="Times New Roman" w:cs="Times New Roman"/>
          <w:color w:val="000000" w:themeColor="text1"/>
        </w:rPr>
        <w:t>.</w:t>
      </w:r>
      <w:r w:rsidR="001A0AB1" w:rsidRPr="00765CB8">
        <w:rPr>
          <w:rStyle w:val="FootnoteReference"/>
          <w:rFonts w:ascii="Times New Roman" w:hAnsi="Times New Roman" w:cs="Times New Roman"/>
          <w:color w:val="000000" w:themeColor="text1"/>
        </w:rPr>
        <w:footnoteReference w:id="40"/>
      </w:r>
      <w:r w:rsidR="001A0AB1" w:rsidRPr="00765CB8">
        <w:rPr>
          <w:rFonts w:ascii="Times New Roman" w:hAnsi="Times New Roman" w:cs="Times New Roman"/>
          <w:color w:val="000000" w:themeColor="text1"/>
        </w:rPr>
        <w:t xml:space="preserve"> </w:t>
      </w:r>
      <w:r w:rsidR="00922B7F" w:rsidRPr="00765CB8">
        <w:rPr>
          <w:rFonts w:ascii="Times New Roman" w:hAnsi="Times New Roman" w:cs="Times New Roman"/>
          <w:color w:val="000000" w:themeColor="text1"/>
        </w:rPr>
        <w:t xml:space="preserve">Unfortunately the Succession Regulation is drafted on the assumption that </w:t>
      </w:r>
      <w:r w:rsidR="00922B7F" w:rsidRPr="00765CB8">
        <w:rPr>
          <w:rFonts w:ascii="Times New Roman" w:hAnsi="Times New Roman" w:cs="Times New Roman"/>
          <w:color w:val="000000" w:themeColor="text1"/>
        </w:rPr>
        <w:lastRenderedPageBreak/>
        <w:t>the decision maker will always be able to find a testator to be habitually resident somewhere at the date of his or death and indeed only habitually resident there and nowhere else.</w:t>
      </w:r>
      <w:r w:rsidR="00F210D0" w:rsidRPr="00765CB8">
        <w:rPr>
          <w:rFonts w:ascii="Times New Roman" w:hAnsi="Times New Roman" w:cs="Times New Roman"/>
          <w:color w:val="000000" w:themeColor="text1"/>
        </w:rPr>
        <w:t xml:space="preserve"> Even at the time of the drafting of the Regulation it was known that the Court of Justice of the European Union had decided in the context of the Brussels II</w:t>
      </w:r>
      <w:r w:rsidR="002A18B9">
        <w:rPr>
          <w:rFonts w:ascii="Times New Roman" w:hAnsi="Times New Roman" w:cs="Times New Roman"/>
          <w:color w:val="000000" w:themeColor="text1"/>
        </w:rPr>
        <w:t>-</w:t>
      </w:r>
      <w:r w:rsidR="002A18B9" w:rsidRPr="002A18B9">
        <w:rPr>
          <w:rFonts w:ascii="Times New Roman" w:hAnsi="Times New Roman" w:cs="Times New Roman"/>
          <w:i/>
          <w:color w:val="000000" w:themeColor="text1"/>
        </w:rPr>
        <w:t>bis</w:t>
      </w:r>
      <w:r w:rsidR="00F210D0" w:rsidRPr="00765CB8">
        <w:rPr>
          <w:rFonts w:ascii="Times New Roman" w:hAnsi="Times New Roman" w:cs="Times New Roman"/>
          <w:color w:val="000000" w:themeColor="text1"/>
        </w:rPr>
        <w:t xml:space="preserve"> Regulation that it is possible that a person may have no habitual residence at a given time.</w:t>
      </w:r>
      <w:r w:rsidR="00055E9B" w:rsidRPr="00765CB8">
        <w:rPr>
          <w:rStyle w:val="FootnoteReference"/>
          <w:rFonts w:ascii="Times New Roman" w:hAnsi="Times New Roman" w:cs="Times New Roman"/>
          <w:color w:val="000000" w:themeColor="text1"/>
        </w:rPr>
        <w:footnoteReference w:id="41"/>
      </w:r>
      <w:r w:rsidR="00F23E47">
        <w:rPr>
          <w:rFonts w:ascii="Times New Roman" w:hAnsi="Times New Roman" w:cs="Times New Roman"/>
          <w:color w:val="000000" w:themeColor="text1"/>
        </w:rPr>
        <w:t xml:space="preserve"> </w:t>
      </w:r>
      <w:r w:rsidR="00F210D0" w:rsidRPr="00765CB8">
        <w:rPr>
          <w:rFonts w:ascii="Times New Roman" w:hAnsi="Times New Roman" w:cs="Times New Roman"/>
          <w:color w:val="000000" w:themeColor="text1"/>
        </w:rPr>
        <w:t>The point was made several times during the negotiations but the majority of States refused to create a fallback rule for the situation where the testator had no habitual residence at the time of his or death.</w:t>
      </w:r>
      <w:r w:rsidR="00F23E47">
        <w:rPr>
          <w:rFonts w:ascii="Times New Roman" w:hAnsi="Times New Roman" w:cs="Times New Roman"/>
          <w:color w:val="000000" w:themeColor="text1"/>
        </w:rPr>
        <w:t xml:space="preserve"> </w:t>
      </w:r>
      <w:r w:rsidR="00F210D0" w:rsidRPr="00765CB8">
        <w:rPr>
          <w:rFonts w:ascii="Times New Roman" w:hAnsi="Times New Roman" w:cs="Times New Roman"/>
          <w:color w:val="000000" w:themeColor="text1"/>
        </w:rPr>
        <w:t>Instead an escape clause was introduced to allow the decision maker to apply the law of the manifestly more closely connected State than the State of the habitual residence of the deceased at death.</w:t>
      </w:r>
      <w:r w:rsidR="00F23E47">
        <w:rPr>
          <w:rFonts w:ascii="Times New Roman" w:hAnsi="Times New Roman" w:cs="Times New Roman"/>
          <w:color w:val="000000" w:themeColor="text1"/>
        </w:rPr>
        <w:t xml:space="preserve"> </w:t>
      </w:r>
      <w:r w:rsidR="00F210D0" w:rsidRPr="00765CB8">
        <w:rPr>
          <w:rFonts w:ascii="Times New Roman" w:hAnsi="Times New Roman" w:cs="Times New Roman"/>
          <w:color w:val="000000" w:themeColor="text1"/>
        </w:rPr>
        <w:t>This can be made to work in cases where the deceased has no habitual residence by focusing on finding the law of the country with which the deceased was most closely connected at the time of his or her death.</w:t>
      </w:r>
      <w:r w:rsidR="00F210D0" w:rsidRPr="00765CB8">
        <w:rPr>
          <w:rStyle w:val="FootnoteReference"/>
          <w:rFonts w:ascii="Times New Roman" w:hAnsi="Times New Roman" w:cs="Times New Roman"/>
          <w:color w:val="000000" w:themeColor="text1"/>
        </w:rPr>
        <w:footnoteReference w:id="42"/>
      </w:r>
    </w:p>
    <w:p w14:paraId="590ED346" w14:textId="77777777" w:rsidR="00BE4200" w:rsidRPr="00765CB8" w:rsidRDefault="00BE4200" w:rsidP="00765CB8">
      <w:pPr>
        <w:jc w:val="both"/>
        <w:rPr>
          <w:rFonts w:ascii="Times New Roman" w:hAnsi="Times New Roman" w:cs="Times New Roman"/>
          <w:color w:val="000000" w:themeColor="text1"/>
        </w:rPr>
      </w:pPr>
    </w:p>
    <w:p w14:paraId="28CC0E28" w14:textId="77777777" w:rsidR="001A0AB1" w:rsidRPr="00765CB8" w:rsidRDefault="002B65DA"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However, where t</w:t>
      </w:r>
      <w:r w:rsidR="001A0AB1" w:rsidRPr="00765CB8">
        <w:rPr>
          <w:rFonts w:ascii="Times New Roman" w:hAnsi="Times New Roman" w:cs="Times New Roman"/>
          <w:color w:val="000000" w:themeColor="text1"/>
        </w:rPr>
        <w:t xml:space="preserve">he main aim of the Succession Regulation </w:t>
      </w:r>
      <w:r w:rsidR="00A7197D" w:rsidRPr="00765CB8">
        <w:rPr>
          <w:rFonts w:ascii="Times New Roman" w:hAnsi="Times New Roman" w:cs="Times New Roman"/>
          <w:color w:val="000000" w:themeColor="text1"/>
        </w:rPr>
        <w:t xml:space="preserve">is </w:t>
      </w:r>
      <w:r w:rsidR="001A0AB1" w:rsidRPr="00765CB8">
        <w:rPr>
          <w:rFonts w:ascii="Times New Roman" w:hAnsi="Times New Roman" w:cs="Times New Roman"/>
          <w:color w:val="000000" w:themeColor="text1"/>
        </w:rPr>
        <w:t>that citizens must be able to organise their succession in advance</w:t>
      </w:r>
      <w:r w:rsidRPr="00765CB8">
        <w:rPr>
          <w:rFonts w:ascii="Times New Roman" w:hAnsi="Times New Roman" w:cs="Times New Roman"/>
          <w:color w:val="000000" w:themeColor="text1"/>
        </w:rPr>
        <w:t>,</w:t>
      </w:r>
      <w:r w:rsidR="001A0AB1" w:rsidRPr="00765CB8">
        <w:rPr>
          <w:rStyle w:val="FootnoteReference"/>
          <w:rFonts w:ascii="Times New Roman" w:hAnsi="Times New Roman" w:cs="Times New Roman"/>
          <w:color w:val="000000" w:themeColor="text1"/>
        </w:rPr>
        <w:footnoteReference w:id="43"/>
      </w:r>
      <w:r w:rsidR="001A0AB1" w:rsidRPr="00765CB8">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and t</w:t>
      </w:r>
      <w:r w:rsidR="001A0AB1" w:rsidRPr="00765CB8">
        <w:rPr>
          <w:rFonts w:ascii="Times New Roman" w:hAnsi="Times New Roman" w:cs="Times New Roman"/>
          <w:color w:val="000000" w:themeColor="text1"/>
        </w:rPr>
        <w:t>o meet this aim the citizen needs to know which law will apply to their succession</w:t>
      </w:r>
      <w:r w:rsidRPr="00765CB8">
        <w:rPr>
          <w:rFonts w:ascii="Times New Roman" w:hAnsi="Times New Roman" w:cs="Times New Roman"/>
          <w:color w:val="000000" w:themeColor="text1"/>
        </w:rPr>
        <w:t>, t</w:t>
      </w:r>
      <w:r w:rsidR="00AB5216" w:rsidRPr="00765CB8">
        <w:rPr>
          <w:rFonts w:ascii="Times New Roman" w:hAnsi="Times New Roman" w:cs="Times New Roman"/>
          <w:color w:val="000000" w:themeColor="text1"/>
        </w:rPr>
        <w:t xml:space="preserve">he use of </w:t>
      </w:r>
      <w:r w:rsidR="001A0AB1" w:rsidRPr="00765CB8">
        <w:rPr>
          <w:rFonts w:ascii="Times New Roman" w:hAnsi="Times New Roman" w:cs="Times New Roman"/>
          <w:color w:val="000000" w:themeColor="text1"/>
        </w:rPr>
        <w:t>habitual residence</w:t>
      </w:r>
      <w:r w:rsidR="00AB5216" w:rsidRPr="00765CB8">
        <w:rPr>
          <w:rFonts w:ascii="Times New Roman" w:hAnsi="Times New Roman" w:cs="Times New Roman"/>
          <w:color w:val="000000" w:themeColor="text1"/>
        </w:rPr>
        <w:t xml:space="preserve"> for the purpose of determining the applicable law</w:t>
      </w:r>
      <w:r w:rsidR="00DA02DD" w:rsidRPr="00765CB8">
        <w:rPr>
          <w:rFonts w:ascii="Times New Roman" w:hAnsi="Times New Roman" w:cs="Times New Roman"/>
          <w:color w:val="000000" w:themeColor="text1"/>
        </w:rPr>
        <w:t xml:space="preserve"> of succession</w:t>
      </w:r>
      <w:r w:rsidR="001A0AB1" w:rsidRPr="00765CB8">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in the more difficult</w:t>
      </w:r>
      <w:r w:rsidR="00DD25F6" w:rsidRPr="00765CB8">
        <w:rPr>
          <w:rFonts w:ascii="Times New Roman" w:hAnsi="Times New Roman" w:cs="Times New Roman"/>
          <w:color w:val="000000" w:themeColor="text1"/>
        </w:rPr>
        <w:t xml:space="preserve"> cases </w:t>
      </w:r>
      <w:r w:rsidR="00DA02DD" w:rsidRPr="00765CB8">
        <w:rPr>
          <w:rFonts w:ascii="Times New Roman" w:hAnsi="Times New Roman" w:cs="Times New Roman"/>
          <w:color w:val="000000" w:themeColor="text1"/>
        </w:rPr>
        <w:t xml:space="preserve">when </w:t>
      </w:r>
      <w:r w:rsidR="001A0AB1" w:rsidRPr="00765CB8">
        <w:rPr>
          <w:rFonts w:ascii="Times New Roman" w:hAnsi="Times New Roman" w:cs="Times New Roman"/>
          <w:color w:val="000000" w:themeColor="text1"/>
        </w:rPr>
        <w:t xml:space="preserve">a person may have no habitual residence or multiple habitual residences, </w:t>
      </w:r>
      <w:r w:rsidR="00DA02DD" w:rsidRPr="00765CB8">
        <w:rPr>
          <w:rFonts w:ascii="Times New Roman" w:hAnsi="Times New Roman" w:cs="Times New Roman"/>
          <w:color w:val="000000" w:themeColor="text1"/>
        </w:rPr>
        <w:t xml:space="preserve">is </w:t>
      </w:r>
      <w:r w:rsidR="00DD25F6" w:rsidRPr="00765CB8">
        <w:rPr>
          <w:rFonts w:ascii="Times New Roman" w:hAnsi="Times New Roman" w:cs="Times New Roman"/>
          <w:color w:val="000000" w:themeColor="text1"/>
        </w:rPr>
        <w:t xml:space="preserve">clearly </w:t>
      </w:r>
      <w:r w:rsidR="00DA02DD" w:rsidRPr="00765CB8">
        <w:rPr>
          <w:rFonts w:ascii="Times New Roman" w:hAnsi="Times New Roman" w:cs="Times New Roman"/>
          <w:color w:val="000000" w:themeColor="text1"/>
        </w:rPr>
        <w:t>contrary to this aim.</w:t>
      </w:r>
      <w:r w:rsidR="00442CA9" w:rsidRPr="00765CB8">
        <w:rPr>
          <w:rStyle w:val="FootnoteReference"/>
          <w:rFonts w:ascii="Times New Roman" w:hAnsi="Times New Roman" w:cs="Times New Roman"/>
          <w:color w:val="000000" w:themeColor="text1"/>
        </w:rPr>
        <w:footnoteReference w:id="44"/>
      </w:r>
      <w:r w:rsidR="001A0AB1" w:rsidRPr="00765CB8">
        <w:rPr>
          <w:rFonts w:ascii="Times New Roman" w:hAnsi="Times New Roman" w:cs="Times New Roman"/>
          <w:color w:val="000000" w:themeColor="text1"/>
        </w:rPr>
        <w:t xml:space="preserve"> </w:t>
      </w:r>
    </w:p>
    <w:p w14:paraId="5982D2DE" w14:textId="77777777" w:rsidR="00D77125" w:rsidRPr="00765CB8" w:rsidRDefault="00D77125" w:rsidP="00765CB8">
      <w:pPr>
        <w:jc w:val="both"/>
        <w:rPr>
          <w:rFonts w:ascii="Times New Roman" w:hAnsi="Times New Roman" w:cs="Times New Roman"/>
          <w:color w:val="000000" w:themeColor="text1"/>
        </w:rPr>
      </w:pPr>
    </w:p>
    <w:p w14:paraId="0AE085F0" w14:textId="77777777" w:rsidR="00D77125" w:rsidRPr="00765CB8" w:rsidRDefault="00951E93" w:rsidP="00951E93">
      <w:pPr>
        <w:pStyle w:val="ListParagraph"/>
        <w:ind w:left="0"/>
        <w:jc w:val="both"/>
        <w:rPr>
          <w:rFonts w:ascii="Times New Roman" w:hAnsi="Times New Roman" w:cs="Times New Roman"/>
          <w:color w:val="000000" w:themeColor="text1"/>
        </w:rPr>
      </w:pPr>
      <w:r>
        <w:rPr>
          <w:rFonts w:ascii="Times New Roman" w:hAnsi="Times New Roman" w:cs="Times New Roman"/>
          <w:color w:val="000000" w:themeColor="text1"/>
        </w:rPr>
        <w:t xml:space="preserve">b) </w:t>
      </w:r>
      <w:r w:rsidR="002378A8" w:rsidRPr="00765CB8">
        <w:rPr>
          <w:rFonts w:ascii="Times New Roman" w:hAnsi="Times New Roman" w:cs="Times New Roman"/>
          <w:color w:val="000000" w:themeColor="text1"/>
        </w:rPr>
        <w:t>Clawback</w:t>
      </w:r>
    </w:p>
    <w:p w14:paraId="627F0241" w14:textId="77777777" w:rsidR="002E283F" w:rsidRPr="00765CB8" w:rsidRDefault="002E283F" w:rsidP="00765CB8">
      <w:pPr>
        <w:pStyle w:val="ListParagraph"/>
        <w:ind w:left="0"/>
        <w:jc w:val="both"/>
        <w:rPr>
          <w:rFonts w:ascii="Times New Roman" w:hAnsi="Times New Roman" w:cs="Times New Roman"/>
          <w:color w:val="000000" w:themeColor="text1"/>
        </w:rPr>
      </w:pPr>
    </w:p>
    <w:p w14:paraId="3D866F0D" w14:textId="6A3FF677" w:rsidR="007548F7" w:rsidRDefault="00D77125"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Unlike the </w:t>
      </w:r>
      <w:r w:rsidR="00E91261">
        <w:rPr>
          <w:rFonts w:ascii="Times New Roman" w:hAnsi="Times New Roman" w:cs="Times New Roman"/>
          <w:color w:val="000000" w:themeColor="text1"/>
        </w:rPr>
        <w:t xml:space="preserve">1989 </w:t>
      </w:r>
      <w:r w:rsidRPr="00765CB8">
        <w:rPr>
          <w:rFonts w:ascii="Times New Roman" w:hAnsi="Times New Roman" w:cs="Times New Roman"/>
          <w:color w:val="000000" w:themeColor="text1"/>
        </w:rPr>
        <w:t>Hague Convention</w:t>
      </w:r>
      <w:r w:rsidR="00E91261">
        <w:rPr>
          <w:rFonts w:ascii="Times New Roman" w:hAnsi="Times New Roman" w:cs="Times New Roman"/>
          <w:color w:val="000000" w:themeColor="text1"/>
        </w:rPr>
        <w:t xml:space="preserve"> on the law applicable to succession</w:t>
      </w:r>
      <w:r w:rsidRPr="00765CB8">
        <w:rPr>
          <w:rFonts w:ascii="Times New Roman" w:hAnsi="Times New Roman" w:cs="Times New Roman"/>
          <w:color w:val="000000" w:themeColor="text1"/>
        </w:rPr>
        <w:t xml:space="preserve">, where </w:t>
      </w:r>
      <w:r w:rsidR="00F5473B" w:rsidRPr="00765CB8">
        <w:rPr>
          <w:rFonts w:ascii="Times New Roman" w:hAnsi="Times New Roman" w:cs="Times New Roman"/>
          <w:color w:val="000000" w:themeColor="text1"/>
        </w:rPr>
        <w:t>its application in relation to</w:t>
      </w:r>
      <w:r w:rsidRPr="00765CB8">
        <w:rPr>
          <w:rFonts w:ascii="Times New Roman" w:hAnsi="Times New Roman" w:cs="Times New Roman"/>
          <w:color w:val="000000" w:themeColor="text1"/>
        </w:rPr>
        <w:t xml:space="preserve"> clawback </w:t>
      </w:r>
      <w:r w:rsidR="00F5473B" w:rsidRPr="00765CB8">
        <w:rPr>
          <w:rFonts w:ascii="Times New Roman" w:hAnsi="Times New Roman" w:cs="Times New Roman"/>
          <w:color w:val="000000" w:themeColor="text1"/>
        </w:rPr>
        <w:t>is contentious</w:t>
      </w:r>
      <w:r w:rsidRPr="00765CB8">
        <w:rPr>
          <w:rFonts w:ascii="Times New Roman" w:hAnsi="Times New Roman" w:cs="Times New Roman"/>
          <w:color w:val="000000" w:themeColor="text1"/>
        </w:rPr>
        <w:t>,</w:t>
      </w:r>
      <w:r w:rsidRPr="00765CB8">
        <w:rPr>
          <w:rStyle w:val="FootnoteReference"/>
          <w:rFonts w:ascii="Times New Roman" w:hAnsi="Times New Roman" w:cs="Times New Roman"/>
          <w:color w:val="000000" w:themeColor="text1"/>
        </w:rPr>
        <w:footnoteReference w:id="45"/>
      </w:r>
      <w:r w:rsidRPr="00765CB8">
        <w:rPr>
          <w:rFonts w:ascii="Times New Roman" w:hAnsi="Times New Roman" w:cs="Times New Roman"/>
          <w:color w:val="000000" w:themeColor="text1"/>
        </w:rPr>
        <w:t xml:space="preserve"> the EU Succession Regulation</w:t>
      </w:r>
      <w:r w:rsidR="00FF28E7" w:rsidRPr="00765CB8">
        <w:rPr>
          <w:rFonts w:ascii="Times New Roman" w:hAnsi="Times New Roman" w:cs="Times New Roman"/>
          <w:color w:val="000000" w:themeColor="text1"/>
        </w:rPr>
        <w:t xml:space="preserve"> clearly </w:t>
      </w:r>
      <w:r w:rsidR="00C84577" w:rsidRPr="00765CB8">
        <w:rPr>
          <w:rFonts w:ascii="Times New Roman" w:hAnsi="Times New Roman" w:cs="Times New Roman"/>
          <w:color w:val="000000" w:themeColor="text1"/>
        </w:rPr>
        <w:t xml:space="preserve">was intended by its drafters to </w:t>
      </w:r>
      <w:r w:rsidR="00FF28E7" w:rsidRPr="00765CB8">
        <w:rPr>
          <w:rFonts w:ascii="Times New Roman" w:hAnsi="Times New Roman" w:cs="Times New Roman"/>
          <w:color w:val="000000" w:themeColor="text1"/>
        </w:rPr>
        <w:t>include</w:t>
      </w:r>
      <w:r w:rsidRPr="00765CB8">
        <w:rPr>
          <w:rFonts w:ascii="Times New Roman" w:hAnsi="Times New Roman" w:cs="Times New Roman"/>
          <w:color w:val="000000" w:themeColor="text1"/>
        </w:rPr>
        <w:t xml:space="preserve"> </w:t>
      </w:r>
      <w:r w:rsidR="00840855">
        <w:rPr>
          <w:rFonts w:ascii="Times New Roman" w:hAnsi="Times New Roman" w:cs="Times New Roman"/>
          <w:color w:val="000000" w:themeColor="text1"/>
        </w:rPr>
        <w:t xml:space="preserve">both collation and </w:t>
      </w:r>
      <w:r w:rsidRPr="00765CB8">
        <w:rPr>
          <w:rFonts w:ascii="Times New Roman" w:hAnsi="Times New Roman" w:cs="Times New Roman"/>
          <w:color w:val="000000" w:themeColor="text1"/>
        </w:rPr>
        <w:t>clawback</w:t>
      </w:r>
      <w:r w:rsidR="00FF28E7" w:rsidRPr="00765CB8">
        <w:rPr>
          <w:rFonts w:ascii="Times New Roman" w:hAnsi="Times New Roman" w:cs="Times New Roman"/>
          <w:color w:val="000000" w:themeColor="text1"/>
        </w:rPr>
        <w:t xml:space="preserve"> </w:t>
      </w:r>
      <w:r w:rsidR="00840855">
        <w:rPr>
          <w:rFonts w:ascii="Times New Roman" w:hAnsi="Times New Roman" w:cs="Times New Roman"/>
          <w:color w:val="000000" w:themeColor="text1"/>
        </w:rPr>
        <w:t xml:space="preserve">from third </w:t>
      </w:r>
      <w:r w:rsidR="00840855">
        <w:rPr>
          <w:rFonts w:ascii="Times New Roman" w:hAnsi="Times New Roman" w:cs="Times New Roman"/>
          <w:color w:val="000000" w:themeColor="text1"/>
        </w:rPr>
        <w:lastRenderedPageBreak/>
        <w:t xml:space="preserve">parties </w:t>
      </w:r>
      <w:r w:rsidR="00FF28E7" w:rsidRPr="00765CB8">
        <w:rPr>
          <w:rFonts w:ascii="Times New Roman" w:hAnsi="Times New Roman" w:cs="Times New Roman"/>
          <w:color w:val="000000" w:themeColor="text1"/>
        </w:rPr>
        <w:t>within its scope as a matter to be governed by the law applicable to the succession</w:t>
      </w:r>
      <w:r w:rsidRPr="00765CB8">
        <w:rPr>
          <w:rFonts w:ascii="Times New Roman" w:hAnsi="Times New Roman" w:cs="Times New Roman"/>
          <w:color w:val="000000" w:themeColor="text1"/>
        </w:rPr>
        <w:t xml:space="preserve">. </w:t>
      </w:r>
      <w:r w:rsidR="00FF28E7" w:rsidRPr="00765CB8">
        <w:rPr>
          <w:rFonts w:ascii="Times New Roman" w:hAnsi="Times New Roman" w:cs="Times New Roman"/>
          <w:color w:val="000000" w:themeColor="text1"/>
        </w:rPr>
        <w:t xml:space="preserve">The clarity </w:t>
      </w:r>
      <w:r w:rsidR="00C84577" w:rsidRPr="00765CB8">
        <w:rPr>
          <w:rFonts w:ascii="Times New Roman" w:hAnsi="Times New Roman" w:cs="Times New Roman"/>
          <w:color w:val="000000" w:themeColor="text1"/>
        </w:rPr>
        <w:t>on the issue is intended to be</w:t>
      </w:r>
      <w:r w:rsidR="00FF28E7" w:rsidRPr="00765CB8">
        <w:rPr>
          <w:rFonts w:ascii="Times New Roman" w:hAnsi="Times New Roman" w:cs="Times New Roman"/>
          <w:color w:val="000000" w:themeColor="text1"/>
        </w:rPr>
        <w:t xml:space="preserve"> provided by the exclusion from scope </w:t>
      </w:r>
      <w:r w:rsidR="00102717" w:rsidRPr="00765CB8">
        <w:rPr>
          <w:rFonts w:ascii="Times New Roman" w:hAnsi="Times New Roman" w:cs="Times New Roman"/>
          <w:color w:val="000000" w:themeColor="text1"/>
        </w:rPr>
        <w:t xml:space="preserve">of </w:t>
      </w:r>
      <w:r w:rsidR="008B632F">
        <w:rPr>
          <w:rFonts w:ascii="Times New Roman" w:hAnsi="Times New Roman" w:cs="Times New Roman"/>
          <w:color w:val="000000" w:themeColor="text1"/>
        </w:rPr>
        <w:t>‘</w:t>
      </w:r>
      <w:r w:rsidR="00C84577" w:rsidRPr="00765CB8">
        <w:rPr>
          <w:rFonts w:ascii="Times New Roman" w:hAnsi="Times New Roman" w:cs="Times New Roman"/>
          <w:color w:val="000000" w:themeColor="text1"/>
        </w:rPr>
        <w:t>property rights, interests and assets created or transferred oth</w:t>
      </w:r>
      <w:r w:rsidR="00102717" w:rsidRPr="00765CB8">
        <w:rPr>
          <w:rFonts w:ascii="Times New Roman" w:hAnsi="Times New Roman" w:cs="Times New Roman"/>
          <w:color w:val="000000" w:themeColor="text1"/>
        </w:rPr>
        <w:t>erwise than</w:t>
      </w:r>
      <w:r w:rsidR="00E34736">
        <w:rPr>
          <w:rFonts w:ascii="Times New Roman" w:hAnsi="Times New Roman" w:cs="Times New Roman"/>
          <w:color w:val="000000" w:themeColor="text1"/>
        </w:rPr>
        <w:t xml:space="preserve"> by succession</w:t>
      </w:r>
      <w:r w:rsidR="008B632F">
        <w:rPr>
          <w:rFonts w:ascii="Times New Roman" w:hAnsi="Times New Roman" w:cs="Times New Roman"/>
          <w:color w:val="000000" w:themeColor="text1"/>
        </w:rPr>
        <w:t>’</w:t>
      </w:r>
      <w:r w:rsidR="00C84577" w:rsidRPr="00765CB8">
        <w:rPr>
          <w:rFonts w:ascii="Times New Roman" w:hAnsi="Times New Roman" w:cs="Times New Roman"/>
          <w:color w:val="000000" w:themeColor="text1"/>
        </w:rPr>
        <w:t xml:space="preserve"> in Article 1(2)(g) b</w:t>
      </w:r>
      <w:r w:rsidR="00E34736">
        <w:rPr>
          <w:rFonts w:ascii="Times New Roman" w:hAnsi="Times New Roman" w:cs="Times New Roman"/>
          <w:color w:val="000000" w:themeColor="text1"/>
        </w:rPr>
        <w:t xml:space="preserve">eing expressly made subject to </w:t>
      </w:r>
      <w:r w:rsidR="008B632F">
        <w:rPr>
          <w:rFonts w:ascii="Times New Roman" w:hAnsi="Times New Roman" w:cs="Times New Roman"/>
          <w:color w:val="000000" w:themeColor="text1"/>
        </w:rPr>
        <w:t>‘</w:t>
      </w:r>
      <w:r w:rsidR="00C84577" w:rsidRPr="00765CB8">
        <w:rPr>
          <w:rFonts w:ascii="Times New Roman" w:hAnsi="Times New Roman" w:cs="Times New Roman"/>
          <w:color w:val="000000" w:themeColor="text1"/>
        </w:rPr>
        <w:t>point (i) of Article 23(2)</w:t>
      </w:r>
      <w:r w:rsidR="008B632F">
        <w:rPr>
          <w:rFonts w:ascii="Times New Roman" w:hAnsi="Times New Roman" w:cs="Times New Roman"/>
          <w:color w:val="000000" w:themeColor="text1"/>
        </w:rPr>
        <w:t>’</w:t>
      </w:r>
      <w:r w:rsidR="00C84577" w:rsidRPr="00765CB8">
        <w:rPr>
          <w:rFonts w:ascii="Times New Roman" w:hAnsi="Times New Roman" w:cs="Times New Roman"/>
          <w:color w:val="000000" w:themeColor="text1"/>
        </w:rPr>
        <w:t>.</w:t>
      </w:r>
      <w:r w:rsidR="00FF28E7" w:rsidRPr="00765CB8">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Article 23</w:t>
      </w:r>
      <w:r w:rsidR="00C84577" w:rsidRPr="00765CB8">
        <w:rPr>
          <w:rFonts w:ascii="Times New Roman" w:hAnsi="Times New Roman" w:cs="Times New Roman"/>
          <w:color w:val="000000" w:themeColor="text1"/>
        </w:rPr>
        <w:t>(2)(i)</w:t>
      </w:r>
      <w:r w:rsidRPr="00765CB8">
        <w:rPr>
          <w:rFonts w:ascii="Times New Roman" w:hAnsi="Times New Roman" w:cs="Times New Roman"/>
          <w:color w:val="000000" w:themeColor="text1"/>
        </w:rPr>
        <w:t xml:space="preserve"> Succession Regulation </w:t>
      </w:r>
      <w:r w:rsidR="00FF28E7" w:rsidRPr="00765CB8">
        <w:rPr>
          <w:rFonts w:ascii="Times New Roman" w:hAnsi="Times New Roman" w:cs="Times New Roman"/>
          <w:color w:val="000000" w:themeColor="text1"/>
        </w:rPr>
        <w:t xml:space="preserve">is explicit that </w:t>
      </w:r>
      <w:r w:rsidR="00C84577" w:rsidRPr="00765CB8">
        <w:rPr>
          <w:rFonts w:ascii="Times New Roman" w:hAnsi="Times New Roman" w:cs="Times New Roman"/>
          <w:color w:val="000000" w:themeColor="text1"/>
        </w:rPr>
        <w:t>the applicable law shall govern in particular</w:t>
      </w:r>
      <w:r w:rsidR="00E34736">
        <w:rPr>
          <w:rFonts w:ascii="Times New Roman" w:hAnsi="Times New Roman" w:cs="Times New Roman"/>
          <w:color w:val="000000" w:themeColor="text1"/>
        </w:rPr>
        <w:t xml:space="preserve"> </w:t>
      </w:r>
      <w:r w:rsidR="008B632F">
        <w:rPr>
          <w:rFonts w:ascii="Times New Roman" w:hAnsi="Times New Roman" w:cs="Times New Roman"/>
          <w:color w:val="000000" w:themeColor="text1"/>
        </w:rPr>
        <w:t>‘</w:t>
      </w:r>
      <w:r w:rsidR="00C84577" w:rsidRPr="00765CB8">
        <w:rPr>
          <w:rFonts w:ascii="Times New Roman" w:hAnsi="Times New Roman" w:cs="Times New Roman"/>
          <w:color w:val="000000" w:themeColor="text1"/>
        </w:rPr>
        <w:t xml:space="preserve">any </w:t>
      </w:r>
      <w:r w:rsidRPr="00765CB8">
        <w:rPr>
          <w:rFonts w:ascii="Times New Roman" w:hAnsi="Times New Roman" w:cs="Times New Roman"/>
          <w:color w:val="000000" w:themeColor="text1"/>
        </w:rPr>
        <w:t>obligation to restore or account for gifts</w:t>
      </w:r>
      <w:r w:rsidR="00C84577" w:rsidRPr="00765CB8">
        <w:rPr>
          <w:rFonts w:ascii="Times New Roman" w:hAnsi="Times New Roman" w:cs="Times New Roman"/>
          <w:color w:val="000000" w:themeColor="text1"/>
        </w:rPr>
        <w:t>, advancements or legacies when determining the shares of the different beneficiaries</w:t>
      </w:r>
      <w:r w:rsidR="008B632F">
        <w:rPr>
          <w:rFonts w:ascii="Times New Roman" w:hAnsi="Times New Roman" w:cs="Times New Roman"/>
          <w:color w:val="000000" w:themeColor="text1"/>
        </w:rPr>
        <w:t>’</w:t>
      </w:r>
      <w:r w:rsidRPr="00765CB8">
        <w:rPr>
          <w:rFonts w:ascii="Times New Roman" w:hAnsi="Times New Roman" w:cs="Times New Roman"/>
          <w:color w:val="000000" w:themeColor="text1"/>
        </w:rPr>
        <w:t>.</w:t>
      </w:r>
      <w:r w:rsidR="00F23E47">
        <w:rPr>
          <w:rFonts w:ascii="Times New Roman" w:hAnsi="Times New Roman" w:cs="Times New Roman"/>
          <w:color w:val="000000" w:themeColor="text1"/>
        </w:rPr>
        <w:t xml:space="preserve"> </w:t>
      </w:r>
      <w:r w:rsidR="00C84577" w:rsidRPr="00765CB8">
        <w:rPr>
          <w:rFonts w:ascii="Times New Roman" w:hAnsi="Times New Roman" w:cs="Times New Roman"/>
          <w:color w:val="000000" w:themeColor="text1"/>
        </w:rPr>
        <w:t>However, the clarity hoped for by the drafters is not achieved by the drafting.</w:t>
      </w:r>
      <w:r w:rsidR="00F23E47">
        <w:rPr>
          <w:rFonts w:ascii="Times New Roman" w:hAnsi="Times New Roman" w:cs="Times New Roman"/>
          <w:color w:val="000000" w:themeColor="text1"/>
        </w:rPr>
        <w:t xml:space="preserve"> </w:t>
      </w:r>
      <w:r w:rsidR="00C84577" w:rsidRPr="00765CB8">
        <w:rPr>
          <w:rFonts w:ascii="Times New Roman" w:hAnsi="Times New Roman" w:cs="Times New Roman"/>
          <w:color w:val="000000" w:themeColor="text1"/>
        </w:rPr>
        <w:t>Article 23(2)(i) Succession Regulation is the equivalent of Article 7(2)(c) Hague Succession Convention.</w:t>
      </w:r>
      <w:r w:rsidR="00C84577" w:rsidRPr="00765CB8">
        <w:rPr>
          <w:rStyle w:val="FootnoteReference"/>
          <w:rFonts w:ascii="Times New Roman" w:hAnsi="Times New Roman" w:cs="Times New Roman"/>
          <w:color w:val="000000" w:themeColor="text1"/>
        </w:rPr>
        <w:footnoteReference w:id="46"/>
      </w:r>
      <w:r w:rsidR="00C84577" w:rsidRPr="00765CB8">
        <w:rPr>
          <w:rFonts w:ascii="Times New Roman" w:hAnsi="Times New Roman" w:cs="Times New Roman"/>
          <w:color w:val="000000" w:themeColor="text1"/>
        </w:rPr>
        <w:t xml:space="preserve"> It </w:t>
      </w:r>
      <w:r w:rsidR="00A01FF5" w:rsidRPr="00765CB8">
        <w:rPr>
          <w:rFonts w:ascii="Times New Roman" w:hAnsi="Times New Roman" w:cs="Times New Roman"/>
          <w:color w:val="000000" w:themeColor="text1"/>
        </w:rPr>
        <w:t>seems</w:t>
      </w:r>
      <w:r w:rsidR="00C84577" w:rsidRPr="00765CB8">
        <w:rPr>
          <w:rFonts w:ascii="Times New Roman" w:hAnsi="Times New Roman" w:cs="Times New Roman"/>
          <w:color w:val="000000" w:themeColor="text1"/>
        </w:rPr>
        <w:t xml:space="preserve"> from the explanatory report to the Hague </w:t>
      </w:r>
      <w:r w:rsidR="00A01FF5" w:rsidRPr="00765CB8">
        <w:rPr>
          <w:rFonts w:ascii="Times New Roman" w:hAnsi="Times New Roman" w:cs="Times New Roman"/>
          <w:color w:val="000000" w:themeColor="text1"/>
        </w:rPr>
        <w:t xml:space="preserve">Succession Convention that this provision applies to </w:t>
      </w:r>
      <w:r w:rsidR="002F159C" w:rsidRPr="00765CB8">
        <w:rPr>
          <w:rFonts w:ascii="Times New Roman" w:hAnsi="Times New Roman" w:cs="Times New Roman"/>
          <w:color w:val="000000" w:themeColor="text1"/>
        </w:rPr>
        <w:t>hotchpot or</w:t>
      </w:r>
      <w:r w:rsidR="00C248C5" w:rsidRPr="00765CB8">
        <w:rPr>
          <w:rFonts w:ascii="Times New Roman" w:hAnsi="Times New Roman" w:cs="Times New Roman"/>
          <w:color w:val="000000" w:themeColor="text1"/>
        </w:rPr>
        <w:t xml:space="preserve"> </w:t>
      </w:r>
      <w:r w:rsidR="00A01FF5" w:rsidRPr="00765CB8">
        <w:rPr>
          <w:rFonts w:ascii="Times New Roman" w:hAnsi="Times New Roman" w:cs="Times New Roman"/>
          <w:color w:val="000000" w:themeColor="text1"/>
        </w:rPr>
        <w:t>collation and not to clawback</w:t>
      </w:r>
      <w:r w:rsidR="00AB48D2">
        <w:rPr>
          <w:rFonts w:ascii="Times New Roman" w:hAnsi="Times New Roman" w:cs="Times New Roman"/>
          <w:color w:val="000000" w:themeColor="text1"/>
        </w:rPr>
        <w:t xml:space="preserve"> from third parties</w:t>
      </w:r>
      <w:r w:rsidR="00A01FF5" w:rsidRPr="00765CB8">
        <w:rPr>
          <w:rFonts w:ascii="Times New Roman" w:hAnsi="Times New Roman" w:cs="Times New Roman"/>
          <w:color w:val="000000" w:themeColor="text1"/>
        </w:rPr>
        <w:t>.</w:t>
      </w:r>
      <w:r w:rsidR="00AB48D2">
        <w:rPr>
          <w:rStyle w:val="FootnoteReference"/>
          <w:rFonts w:ascii="Times New Roman" w:hAnsi="Times New Roman" w:cs="Times New Roman"/>
          <w:color w:val="000000" w:themeColor="text1"/>
        </w:rPr>
        <w:footnoteReference w:id="47"/>
      </w:r>
      <w:r w:rsidR="00F23E47">
        <w:rPr>
          <w:rFonts w:ascii="Times New Roman" w:hAnsi="Times New Roman" w:cs="Times New Roman"/>
          <w:color w:val="000000" w:themeColor="text1"/>
        </w:rPr>
        <w:t xml:space="preserve"> </w:t>
      </w:r>
      <w:r w:rsidR="00A01FF5" w:rsidRPr="00765CB8">
        <w:rPr>
          <w:rFonts w:ascii="Times New Roman" w:hAnsi="Times New Roman" w:cs="Times New Roman"/>
          <w:color w:val="000000" w:themeColor="text1"/>
        </w:rPr>
        <w:t>It is intended to cover requirements in many legal systems that a beneficiary who has received lifetime gifts from the testator must account for those gifts in determining the share of the estate that he or she is entitled to in comparison to the other beneficiaries.</w:t>
      </w:r>
      <w:r w:rsidR="00A01FF5" w:rsidRPr="00765CB8">
        <w:rPr>
          <w:rStyle w:val="FootnoteReference"/>
          <w:rFonts w:ascii="Times New Roman" w:hAnsi="Times New Roman" w:cs="Times New Roman"/>
          <w:color w:val="000000" w:themeColor="text1"/>
        </w:rPr>
        <w:footnoteReference w:id="48"/>
      </w:r>
      <w:r w:rsidR="00A01FF5" w:rsidRPr="00765CB8">
        <w:rPr>
          <w:rFonts w:ascii="Times New Roman" w:hAnsi="Times New Roman" w:cs="Times New Roman"/>
          <w:color w:val="000000" w:themeColor="text1"/>
        </w:rPr>
        <w:t xml:space="preserve"> This interpretation is supported by a literal construction of Article 23(2)(i) Succession Regulation which applies only to res</w:t>
      </w:r>
      <w:r w:rsidR="00E34736">
        <w:rPr>
          <w:rFonts w:ascii="Times New Roman" w:hAnsi="Times New Roman" w:cs="Times New Roman"/>
          <w:color w:val="000000" w:themeColor="text1"/>
        </w:rPr>
        <w:t xml:space="preserve">toring or accounting for gifts </w:t>
      </w:r>
      <w:r w:rsidR="008B632F">
        <w:rPr>
          <w:rFonts w:ascii="Times New Roman" w:hAnsi="Times New Roman" w:cs="Times New Roman"/>
          <w:color w:val="000000" w:themeColor="text1"/>
        </w:rPr>
        <w:t>‘</w:t>
      </w:r>
      <w:r w:rsidR="00A01FF5" w:rsidRPr="00765CB8">
        <w:rPr>
          <w:rFonts w:ascii="Times New Roman" w:hAnsi="Times New Roman" w:cs="Times New Roman"/>
          <w:color w:val="000000" w:themeColor="text1"/>
        </w:rPr>
        <w:t xml:space="preserve">when determining the shares </w:t>
      </w:r>
      <w:r w:rsidR="00E34736">
        <w:rPr>
          <w:rFonts w:ascii="Times New Roman" w:hAnsi="Times New Roman" w:cs="Times New Roman"/>
          <w:color w:val="000000" w:themeColor="text1"/>
        </w:rPr>
        <w:t>of the different beneficiaries</w:t>
      </w:r>
      <w:r w:rsidR="008B632F">
        <w:rPr>
          <w:rFonts w:ascii="Times New Roman" w:hAnsi="Times New Roman" w:cs="Times New Roman"/>
          <w:color w:val="000000" w:themeColor="text1"/>
        </w:rPr>
        <w:t>’</w:t>
      </w:r>
      <w:r w:rsidR="00306674" w:rsidRPr="00765CB8">
        <w:rPr>
          <w:rFonts w:ascii="Times New Roman" w:hAnsi="Times New Roman" w:cs="Times New Roman"/>
          <w:color w:val="000000" w:themeColor="text1"/>
        </w:rPr>
        <w:t xml:space="preserve"> </w:t>
      </w:r>
      <w:r w:rsidR="00A01FF5" w:rsidRPr="00765CB8">
        <w:rPr>
          <w:rFonts w:ascii="Times New Roman" w:hAnsi="Times New Roman" w:cs="Times New Roman"/>
          <w:color w:val="000000" w:themeColor="text1"/>
        </w:rPr>
        <w:t>not when deciding that a non-beneficiary under the applicable law should restore a lifetime gift made to that person in order to increase the size of the estate available for those with a reserved share.</w:t>
      </w:r>
      <w:r w:rsidR="00F23E47">
        <w:rPr>
          <w:rFonts w:ascii="Times New Roman" w:hAnsi="Times New Roman" w:cs="Times New Roman"/>
          <w:color w:val="000000" w:themeColor="text1"/>
        </w:rPr>
        <w:t xml:space="preserve"> </w:t>
      </w:r>
      <w:r w:rsidR="00A01FF5" w:rsidRPr="00765CB8">
        <w:rPr>
          <w:rFonts w:ascii="Times New Roman" w:hAnsi="Times New Roman" w:cs="Times New Roman"/>
          <w:color w:val="000000" w:themeColor="text1"/>
        </w:rPr>
        <w:t>It is significant that the Waters explanatory report on the Hague Succession Convention seems to bring clawback into the scope of the applicable law through Article 7(2)</w:t>
      </w:r>
      <w:r w:rsidR="00B95349" w:rsidRPr="00765CB8">
        <w:rPr>
          <w:rFonts w:ascii="Times New Roman" w:hAnsi="Times New Roman" w:cs="Times New Roman"/>
          <w:color w:val="000000" w:themeColor="text1"/>
        </w:rPr>
        <w:t>(d).</w:t>
      </w:r>
      <w:r w:rsidR="00B95349" w:rsidRPr="00765CB8">
        <w:rPr>
          <w:rStyle w:val="FootnoteReference"/>
          <w:rFonts w:ascii="Times New Roman" w:hAnsi="Times New Roman" w:cs="Times New Roman"/>
          <w:color w:val="000000" w:themeColor="text1"/>
        </w:rPr>
        <w:footnoteReference w:id="49"/>
      </w:r>
      <w:r w:rsidR="00B95349" w:rsidRPr="00765CB8">
        <w:rPr>
          <w:rFonts w:ascii="Times New Roman" w:hAnsi="Times New Roman" w:cs="Times New Roman"/>
          <w:color w:val="000000" w:themeColor="text1"/>
        </w:rPr>
        <w:t xml:space="preserve"> This provision has its equivalent in Article 23(2)(h) Succession Regulation which provides that the law app</w:t>
      </w:r>
      <w:r w:rsidR="00306674" w:rsidRPr="00765CB8">
        <w:rPr>
          <w:rFonts w:ascii="Times New Roman" w:hAnsi="Times New Roman" w:cs="Times New Roman"/>
          <w:color w:val="000000" w:themeColor="text1"/>
        </w:rPr>
        <w:t xml:space="preserve">licable to succession governs: </w:t>
      </w:r>
      <w:r w:rsidR="008B632F">
        <w:rPr>
          <w:rFonts w:ascii="Times New Roman" w:hAnsi="Times New Roman" w:cs="Times New Roman"/>
          <w:color w:val="000000" w:themeColor="text1"/>
        </w:rPr>
        <w:t>‘</w:t>
      </w:r>
      <w:r w:rsidR="00B95349" w:rsidRPr="00765CB8">
        <w:rPr>
          <w:rFonts w:ascii="Times New Roman" w:hAnsi="Times New Roman" w:cs="Times New Roman"/>
          <w:color w:val="000000" w:themeColor="text1"/>
        </w:rPr>
        <w:t xml:space="preserve">the disposable part of the estate, the reserved shares and other restrictions on the disposal of property upon death as well as claims which persons close to the deceased may have </w:t>
      </w:r>
      <w:r w:rsidR="00E34736">
        <w:rPr>
          <w:rFonts w:ascii="Times New Roman" w:hAnsi="Times New Roman" w:cs="Times New Roman"/>
          <w:color w:val="000000" w:themeColor="text1"/>
        </w:rPr>
        <w:t>against the estate or the heirs</w:t>
      </w:r>
      <w:r w:rsidR="008B632F">
        <w:rPr>
          <w:rFonts w:ascii="Times New Roman" w:hAnsi="Times New Roman" w:cs="Times New Roman"/>
          <w:color w:val="000000" w:themeColor="text1"/>
        </w:rPr>
        <w:t>’</w:t>
      </w:r>
      <w:r w:rsidR="00B95349" w:rsidRPr="00765CB8">
        <w:rPr>
          <w:rFonts w:ascii="Times New Roman" w:hAnsi="Times New Roman" w:cs="Times New Roman"/>
          <w:color w:val="000000" w:themeColor="text1"/>
        </w:rPr>
        <w:t>. However, Article 23(2)(h) is not given priority over the exclusion fr</w:t>
      </w:r>
      <w:r w:rsidR="00E34736">
        <w:rPr>
          <w:rFonts w:ascii="Times New Roman" w:hAnsi="Times New Roman" w:cs="Times New Roman"/>
          <w:color w:val="000000" w:themeColor="text1"/>
        </w:rPr>
        <w:t xml:space="preserve">om scope in Article 1(2)(g) of </w:t>
      </w:r>
      <w:r w:rsidR="008B632F">
        <w:rPr>
          <w:rFonts w:ascii="Times New Roman" w:hAnsi="Times New Roman" w:cs="Times New Roman"/>
          <w:color w:val="000000" w:themeColor="text1"/>
        </w:rPr>
        <w:t>‘</w:t>
      </w:r>
      <w:r w:rsidR="00B95349" w:rsidRPr="00765CB8">
        <w:rPr>
          <w:rFonts w:ascii="Times New Roman" w:hAnsi="Times New Roman" w:cs="Times New Roman"/>
          <w:color w:val="000000" w:themeColor="text1"/>
        </w:rPr>
        <w:t>property rights, interests and assets created or transferr</w:t>
      </w:r>
      <w:r w:rsidR="00E34736">
        <w:rPr>
          <w:rFonts w:ascii="Times New Roman" w:hAnsi="Times New Roman" w:cs="Times New Roman"/>
          <w:color w:val="000000" w:themeColor="text1"/>
        </w:rPr>
        <w:t>ed otherwise than by succession</w:t>
      </w:r>
      <w:r w:rsidR="008B632F">
        <w:rPr>
          <w:rFonts w:ascii="Times New Roman" w:hAnsi="Times New Roman" w:cs="Times New Roman"/>
          <w:color w:val="000000" w:themeColor="text1"/>
        </w:rPr>
        <w:t>’</w:t>
      </w:r>
      <w:r w:rsidR="00CE78C3" w:rsidRPr="00765CB8">
        <w:rPr>
          <w:rFonts w:ascii="Times New Roman" w:hAnsi="Times New Roman" w:cs="Times New Roman"/>
          <w:color w:val="000000" w:themeColor="text1"/>
        </w:rPr>
        <w:t xml:space="preserve"> which </w:t>
      </w:r>
      <w:r w:rsidR="001C4553" w:rsidRPr="00B53A62">
        <w:rPr>
          <w:rFonts w:ascii="Times New Roman" w:hAnsi="Times New Roman" w:cs="Times New Roman"/>
          <w:color w:val="000000" w:themeColor="text1"/>
        </w:rPr>
        <w:t xml:space="preserve">creates doubt as to whether </w:t>
      </w:r>
      <w:r w:rsidR="00CE78C3" w:rsidRPr="001C4553">
        <w:rPr>
          <w:rFonts w:ascii="Times New Roman" w:hAnsi="Times New Roman" w:cs="Times New Roman"/>
          <w:color w:val="000000" w:themeColor="text1"/>
        </w:rPr>
        <w:t>lifetime gifts to people who are not beneficiaries of the estate</w:t>
      </w:r>
      <w:r w:rsidR="00306674" w:rsidRPr="001C4553">
        <w:rPr>
          <w:rFonts w:ascii="Times New Roman" w:hAnsi="Times New Roman" w:cs="Times New Roman"/>
          <w:color w:val="000000" w:themeColor="text1"/>
        </w:rPr>
        <w:t xml:space="preserve"> </w:t>
      </w:r>
      <w:r w:rsidR="001C4553" w:rsidRPr="00B53A62">
        <w:rPr>
          <w:rFonts w:ascii="Times New Roman" w:hAnsi="Times New Roman" w:cs="Times New Roman"/>
          <w:color w:val="000000" w:themeColor="text1"/>
        </w:rPr>
        <w:t>are included within</w:t>
      </w:r>
      <w:r w:rsidR="00306674" w:rsidRPr="001C4553">
        <w:rPr>
          <w:rFonts w:ascii="Times New Roman" w:hAnsi="Times New Roman" w:cs="Times New Roman"/>
          <w:color w:val="000000" w:themeColor="text1"/>
        </w:rPr>
        <w:t xml:space="preserve"> the scope of the Succession Regulation</w:t>
      </w:r>
      <w:r w:rsidR="001C4553" w:rsidRPr="00B53A62">
        <w:rPr>
          <w:rFonts w:ascii="Times New Roman" w:hAnsi="Times New Roman" w:cs="Times New Roman"/>
          <w:color w:val="000000" w:themeColor="text1"/>
        </w:rPr>
        <w:t xml:space="preserve"> because they are not clearly ‘created or transferred… by succession’</w:t>
      </w:r>
      <w:r w:rsidR="00CE78C3" w:rsidRPr="001C4553">
        <w:rPr>
          <w:rFonts w:ascii="Times New Roman" w:hAnsi="Times New Roman" w:cs="Times New Roman"/>
          <w:color w:val="000000" w:themeColor="text1"/>
        </w:rPr>
        <w:t>.</w:t>
      </w:r>
    </w:p>
    <w:p w14:paraId="695F0DBA" w14:textId="77777777" w:rsidR="00BE4200" w:rsidRPr="00765CB8" w:rsidRDefault="00BE4200" w:rsidP="00765CB8">
      <w:pPr>
        <w:jc w:val="both"/>
        <w:rPr>
          <w:rFonts w:ascii="Times New Roman" w:hAnsi="Times New Roman" w:cs="Times New Roman"/>
          <w:color w:val="000000" w:themeColor="text1"/>
        </w:rPr>
      </w:pPr>
    </w:p>
    <w:p w14:paraId="7E9E87C3" w14:textId="10BCAF0A" w:rsidR="007548F7" w:rsidRDefault="00F86D9F"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C</w:t>
      </w:r>
      <w:r w:rsidR="00D77125" w:rsidRPr="00765CB8">
        <w:rPr>
          <w:rFonts w:ascii="Times New Roman" w:hAnsi="Times New Roman" w:cs="Times New Roman"/>
          <w:color w:val="000000" w:themeColor="text1"/>
        </w:rPr>
        <w:t>lawback for the purpose of succession is n</w:t>
      </w:r>
      <w:r w:rsidRPr="00765CB8">
        <w:rPr>
          <w:rFonts w:ascii="Times New Roman" w:hAnsi="Times New Roman" w:cs="Times New Roman"/>
          <w:color w:val="000000" w:themeColor="text1"/>
        </w:rPr>
        <w:t xml:space="preserve">ot part of the domestic law in any part of the UK although there is a provision which is similar to clawback in relation to the </w:t>
      </w:r>
      <w:r w:rsidR="00A91331" w:rsidRPr="00765CB8">
        <w:rPr>
          <w:rFonts w:ascii="Times New Roman" w:hAnsi="Times New Roman" w:cs="Times New Roman"/>
          <w:color w:val="000000" w:themeColor="text1"/>
        </w:rPr>
        <w:t>Inheritance (Provision for Family and Depend</w:t>
      </w:r>
      <w:r w:rsidR="003678FA">
        <w:rPr>
          <w:rFonts w:ascii="Times New Roman" w:hAnsi="Times New Roman" w:cs="Times New Roman"/>
          <w:color w:val="000000" w:themeColor="text1"/>
        </w:rPr>
        <w:t>a</w:t>
      </w:r>
      <w:r w:rsidR="00A91331" w:rsidRPr="00765CB8">
        <w:rPr>
          <w:rFonts w:ascii="Times New Roman" w:hAnsi="Times New Roman" w:cs="Times New Roman"/>
          <w:color w:val="000000" w:themeColor="text1"/>
        </w:rPr>
        <w:t>nts) Act 1975 in England and Wales</w:t>
      </w:r>
      <w:r w:rsidR="00D77125" w:rsidRPr="00765CB8">
        <w:rPr>
          <w:rFonts w:ascii="Times New Roman" w:hAnsi="Times New Roman" w:cs="Times New Roman"/>
          <w:color w:val="000000" w:themeColor="text1"/>
        </w:rPr>
        <w:t>.</w:t>
      </w:r>
      <w:r w:rsidR="00D77125" w:rsidRPr="00765CB8">
        <w:rPr>
          <w:rStyle w:val="FootnoteReference"/>
          <w:rFonts w:ascii="Times New Roman" w:hAnsi="Times New Roman" w:cs="Times New Roman"/>
          <w:color w:val="000000" w:themeColor="text1"/>
        </w:rPr>
        <w:footnoteReference w:id="50"/>
      </w:r>
      <w:r w:rsidR="00D77125" w:rsidRPr="00765CB8">
        <w:rPr>
          <w:rFonts w:ascii="Times New Roman" w:hAnsi="Times New Roman" w:cs="Times New Roman"/>
          <w:color w:val="000000" w:themeColor="text1"/>
        </w:rPr>
        <w:t xml:space="preserve"> Scotland has forced heirship found within the protection of the legal rights of certain </w:t>
      </w:r>
      <w:r w:rsidR="00D77125" w:rsidRPr="00765CB8">
        <w:rPr>
          <w:rFonts w:ascii="Times New Roman" w:hAnsi="Times New Roman" w:cs="Times New Roman"/>
          <w:color w:val="000000" w:themeColor="text1"/>
        </w:rPr>
        <w:lastRenderedPageBreak/>
        <w:t>heirs but it does not have clawback.</w:t>
      </w:r>
      <w:r w:rsidR="00D77125" w:rsidRPr="00765CB8">
        <w:rPr>
          <w:rStyle w:val="FootnoteReference"/>
          <w:rFonts w:ascii="Times New Roman" w:hAnsi="Times New Roman" w:cs="Times New Roman"/>
          <w:color w:val="000000" w:themeColor="text1"/>
        </w:rPr>
        <w:footnoteReference w:id="51"/>
      </w:r>
      <w:r w:rsidR="00BE4200">
        <w:rPr>
          <w:rFonts w:ascii="Times New Roman" w:hAnsi="Times New Roman" w:cs="Times New Roman"/>
          <w:color w:val="000000" w:themeColor="text1"/>
        </w:rPr>
        <w:t xml:space="preserve"> </w:t>
      </w:r>
      <w:r w:rsidR="00D77125" w:rsidRPr="00765CB8">
        <w:rPr>
          <w:rFonts w:ascii="Times New Roman" w:hAnsi="Times New Roman" w:cs="Times New Roman"/>
          <w:color w:val="000000" w:themeColor="text1"/>
        </w:rPr>
        <w:t>Therefore</w:t>
      </w:r>
      <w:r w:rsidR="00F8266A" w:rsidRPr="00765CB8">
        <w:rPr>
          <w:rFonts w:ascii="Times New Roman" w:hAnsi="Times New Roman" w:cs="Times New Roman"/>
          <w:color w:val="000000" w:themeColor="text1"/>
        </w:rPr>
        <w:t>,</w:t>
      </w:r>
      <w:r w:rsidR="00D77125" w:rsidRPr="00765CB8">
        <w:rPr>
          <w:rFonts w:ascii="Times New Roman" w:hAnsi="Times New Roman" w:cs="Times New Roman"/>
          <w:color w:val="000000" w:themeColor="text1"/>
        </w:rPr>
        <w:t xml:space="preserve"> a legislative system that protects clawback in the format found within the Regulation, would require the UK, if it had opted in, to enforce c</w:t>
      </w:r>
      <w:r w:rsidR="00451D04" w:rsidRPr="00765CB8">
        <w:rPr>
          <w:rFonts w:ascii="Times New Roman" w:hAnsi="Times New Roman" w:cs="Times New Roman"/>
          <w:color w:val="000000" w:themeColor="text1"/>
        </w:rPr>
        <w:t>lawback</w:t>
      </w:r>
      <w:r w:rsidR="00840855">
        <w:rPr>
          <w:rFonts w:ascii="Times New Roman" w:hAnsi="Times New Roman" w:cs="Times New Roman"/>
          <w:color w:val="000000" w:themeColor="text1"/>
        </w:rPr>
        <w:t xml:space="preserve"> for the purpose of succession</w:t>
      </w:r>
      <w:r w:rsidR="00451D04" w:rsidRPr="00765CB8">
        <w:rPr>
          <w:rFonts w:ascii="Times New Roman" w:hAnsi="Times New Roman" w:cs="Times New Roman"/>
          <w:color w:val="000000" w:themeColor="text1"/>
        </w:rPr>
        <w:t>.</w:t>
      </w:r>
      <w:r w:rsidR="00F23E47">
        <w:rPr>
          <w:rFonts w:ascii="Times New Roman" w:hAnsi="Times New Roman" w:cs="Times New Roman"/>
          <w:color w:val="000000" w:themeColor="text1"/>
        </w:rPr>
        <w:t xml:space="preserve"> </w:t>
      </w:r>
      <w:r w:rsidR="00451D04" w:rsidRPr="00765CB8">
        <w:rPr>
          <w:rFonts w:ascii="Times New Roman" w:hAnsi="Times New Roman" w:cs="Times New Roman"/>
          <w:color w:val="000000" w:themeColor="text1"/>
        </w:rPr>
        <w:t xml:space="preserve">This would </w:t>
      </w:r>
      <w:r w:rsidR="008B632F">
        <w:rPr>
          <w:rFonts w:ascii="Times New Roman" w:hAnsi="Times New Roman" w:cs="Times New Roman"/>
          <w:color w:val="000000" w:themeColor="text1"/>
        </w:rPr>
        <w:t>‘</w:t>
      </w:r>
      <w:r w:rsidR="00451D04" w:rsidRPr="00765CB8">
        <w:rPr>
          <w:rFonts w:ascii="Times New Roman" w:hAnsi="Times New Roman" w:cs="Times New Roman"/>
          <w:color w:val="000000" w:themeColor="text1"/>
        </w:rPr>
        <w:t xml:space="preserve">undermine </w:t>
      </w:r>
      <w:r w:rsidR="00D77125" w:rsidRPr="00765CB8">
        <w:rPr>
          <w:rFonts w:ascii="Times New Roman" w:hAnsi="Times New Roman" w:cs="Times New Roman"/>
          <w:color w:val="000000" w:themeColor="text1"/>
        </w:rPr>
        <w:t xml:space="preserve">the security of UK </w:t>
      </w:r>
      <w:r w:rsidR="00D77125" w:rsidRPr="00765CB8">
        <w:rPr>
          <w:rFonts w:ascii="Times New Roman" w:hAnsi="Times New Roman" w:cs="Times New Roman"/>
          <w:i/>
          <w:color w:val="000000" w:themeColor="text1"/>
        </w:rPr>
        <w:t>inter</w:t>
      </w:r>
      <w:r w:rsidR="00BE4200">
        <w:rPr>
          <w:rFonts w:ascii="Times New Roman" w:hAnsi="Times New Roman" w:cs="Times New Roman"/>
          <w:i/>
          <w:color w:val="000000" w:themeColor="text1"/>
        </w:rPr>
        <w:t xml:space="preserve"> </w:t>
      </w:r>
      <w:proofErr w:type="spellStart"/>
      <w:r w:rsidR="00D77125" w:rsidRPr="00765CB8">
        <w:rPr>
          <w:rFonts w:ascii="Times New Roman" w:hAnsi="Times New Roman" w:cs="Times New Roman"/>
          <w:i/>
          <w:color w:val="000000" w:themeColor="text1"/>
        </w:rPr>
        <w:t>vivos</w:t>
      </w:r>
      <w:proofErr w:type="spellEnd"/>
      <w:r w:rsidR="00451D04" w:rsidRPr="00765CB8">
        <w:rPr>
          <w:rFonts w:ascii="Times New Roman" w:hAnsi="Times New Roman" w:cs="Times New Roman"/>
          <w:color w:val="000000" w:themeColor="text1"/>
        </w:rPr>
        <w:t xml:space="preserve"> gifts and defeat </w:t>
      </w:r>
      <w:r w:rsidR="00BE4200">
        <w:rPr>
          <w:rFonts w:ascii="Times New Roman" w:hAnsi="Times New Roman" w:cs="Times New Roman"/>
          <w:color w:val="000000" w:themeColor="text1"/>
        </w:rPr>
        <w:t xml:space="preserve">the UK </w:t>
      </w:r>
      <w:proofErr w:type="spellStart"/>
      <w:r w:rsidR="00BE4200">
        <w:rPr>
          <w:rFonts w:ascii="Times New Roman" w:hAnsi="Times New Roman" w:cs="Times New Roman"/>
          <w:color w:val="000000" w:themeColor="text1"/>
        </w:rPr>
        <w:t>donees</w:t>
      </w:r>
      <w:r w:rsidR="008B632F">
        <w:rPr>
          <w:rFonts w:ascii="Times New Roman" w:hAnsi="Times New Roman" w:cs="Times New Roman"/>
          <w:color w:val="000000" w:themeColor="text1"/>
        </w:rPr>
        <w:t>’</w:t>
      </w:r>
      <w:proofErr w:type="spellEnd"/>
      <w:r w:rsidR="00D77125" w:rsidRPr="00765CB8">
        <w:rPr>
          <w:rFonts w:ascii="Times New Roman" w:hAnsi="Times New Roman" w:cs="Times New Roman"/>
          <w:color w:val="000000" w:themeColor="text1"/>
        </w:rPr>
        <w:t xml:space="preserve"> legitimate ex</w:t>
      </w:r>
      <w:r w:rsidR="00BE4200">
        <w:rPr>
          <w:rFonts w:ascii="Times New Roman" w:hAnsi="Times New Roman" w:cs="Times New Roman"/>
          <w:color w:val="000000" w:themeColor="text1"/>
        </w:rPr>
        <w:t>pectations if applied in the UK</w:t>
      </w:r>
      <w:r w:rsidR="00B41B24">
        <w:rPr>
          <w:rFonts w:ascii="Times New Roman" w:hAnsi="Times New Roman" w:cs="Times New Roman"/>
          <w:color w:val="000000" w:themeColor="text1"/>
        </w:rPr>
        <w:t>’. It</w:t>
      </w:r>
      <w:r w:rsidR="00BE4200">
        <w:rPr>
          <w:rFonts w:ascii="Times New Roman" w:hAnsi="Times New Roman" w:cs="Times New Roman"/>
          <w:color w:val="000000" w:themeColor="text1"/>
        </w:rPr>
        <w:t xml:space="preserve"> </w:t>
      </w:r>
      <w:r w:rsidR="00D77125" w:rsidRPr="00765CB8">
        <w:rPr>
          <w:rFonts w:ascii="Times New Roman" w:hAnsi="Times New Roman" w:cs="Times New Roman"/>
          <w:color w:val="000000" w:themeColor="text1"/>
        </w:rPr>
        <w:t xml:space="preserve">was clearly not going to be acceptable in that </w:t>
      </w:r>
      <w:proofErr w:type="gramStart"/>
      <w:r w:rsidR="00D77125" w:rsidRPr="00765CB8">
        <w:rPr>
          <w:rFonts w:ascii="Times New Roman" w:hAnsi="Times New Roman" w:cs="Times New Roman"/>
          <w:color w:val="000000" w:themeColor="text1"/>
        </w:rPr>
        <w:t>format,</w:t>
      </w:r>
      <w:r w:rsidR="00840855">
        <w:rPr>
          <w:rFonts w:ascii="Times New Roman" w:hAnsi="Times New Roman" w:cs="Times New Roman"/>
          <w:color w:val="000000" w:themeColor="text1"/>
        </w:rPr>
        <w:t xml:space="preserve"> </w:t>
      </w:r>
      <w:r w:rsidR="00D77125" w:rsidRPr="00765CB8">
        <w:rPr>
          <w:rFonts w:ascii="Times New Roman" w:hAnsi="Times New Roman" w:cs="Times New Roman"/>
          <w:color w:val="000000" w:themeColor="text1"/>
        </w:rPr>
        <w:t>and</w:t>
      </w:r>
      <w:proofErr w:type="gramEnd"/>
      <w:r w:rsidR="00D77125" w:rsidRPr="00765CB8">
        <w:rPr>
          <w:rFonts w:ascii="Times New Roman" w:hAnsi="Times New Roman" w:cs="Times New Roman"/>
          <w:color w:val="000000" w:themeColor="text1"/>
        </w:rPr>
        <w:t xml:space="preserve"> highlight</w:t>
      </w:r>
      <w:r w:rsidR="004C091B">
        <w:rPr>
          <w:rFonts w:ascii="Times New Roman" w:hAnsi="Times New Roman" w:cs="Times New Roman"/>
          <w:color w:val="000000" w:themeColor="text1"/>
        </w:rPr>
        <w:t>ed</w:t>
      </w:r>
      <w:r w:rsidR="00D77125" w:rsidRPr="00765CB8">
        <w:rPr>
          <w:rFonts w:ascii="Times New Roman" w:hAnsi="Times New Roman" w:cs="Times New Roman"/>
          <w:color w:val="000000" w:themeColor="text1"/>
        </w:rPr>
        <w:t xml:space="preserve"> the conflict in characterisation </w:t>
      </w:r>
      <w:r w:rsidR="00840855">
        <w:rPr>
          <w:rFonts w:ascii="Times New Roman" w:hAnsi="Times New Roman" w:cs="Times New Roman"/>
          <w:color w:val="000000" w:themeColor="text1"/>
        </w:rPr>
        <w:t>in differing</w:t>
      </w:r>
      <w:r w:rsidR="00840855" w:rsidRPr="00765CB8">
        <w:rPr>
          <w:rFonts w:ascii="Times New Roman" w:hAnsi="Times New Roman" w:cs="Times New Roman"/>
          <w:color w:val="000000" w:themeColor="text1"/>
        </w:rPr>
        <w:t xml:space="preserve"> </w:t>
      </w:r>
      <w:r w:rsidR="00D77125" w:rsidRPr="00765CB8">
        <w:rPr>
          <w:rFonts w:ascii="Times New Roman" w:hAnsi="Times New Roman" w:cs="Times New Roman"/>
          <w:color w:val="000000" w:themeColor="text1"/>
        </w:rPr>
        <w:t>legal traditions.</w:t>
      </w:r>
      <w:r w:rsidR="00D77125" w:rsidRPr="00765CB8">
        <w:rPr>
          <w:rStyle w:val="FootnoteReference"/>
          <w:rFonts w:ascii="Times New Roman" w:hAnsi="Times New Roman" w:cs="Times New Roman"/>
          <w:color w:val="000000" w:themeColor="text1"/>
        </w:rPr>
        <w:footnoteReference w:id="52"/>
      </w:r>
    </w:p>
    <w:p w14:paraId="22CB32F6" w14:textId="77777777" w:rsidR="00BE4200" w:rsidRPr="00765CB8" w:rsidRDefault="00BE4200" w:rsidP="00765CB8">
      <w:pPr>
        <w:jc w:val="both"/>
        <w:rPr>
          <w:rFonts w:ascii="Times New Roman" w:hAnsi="Times New Roman" w:cs="Times New Roman"/>
          <w:color w:val="000000" w:themeColor="text1"/>
        </w:rPr>
      </w:pPr>
    </w:p>
    <w:p w14:paraId="686EC93A" w14:textId="17DF2828" w:rsidR="007548F7" w:rsidRDefault="003A0040"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If</w:t>
      </w:r>
      <w:r w:rsidR="00D77125" w:rsidRPr="00765CB8">
        <w:rPr>
          <w:rFonts w:ascii="Times New Roman" w:hAnsi="Times New Roman" w:cs="Times New Roman"/>
          <w:color w:val="000000" w:themeColor="text1"/>
        </w:rPr>
        <w:t xml:space="preserve"> a </w:t>
      </w:r>
      <w:r w:rsidRPr="00765CB8">
        <w:rPr>
          <w:rFonts w:ascii="Times New Roman" w:hAnsi="Times New Roman" w:cs="Times New Roman"/>
          <w:color w:val="000000" w:themeColor="text1"/>
        </w:rPr>
        <w:t>Scottish domiciliary</w:t>
      </w:r>
      <w:r w:rsidR="00D77125" w:rsidRPr="00765CB8">
        <w:rPr>
          <w:rFonts w:ascii="Times New Roman" w:hAnsi="Times New Roman" w:cs="Times New Roman"/>
          <w:color w:val="000000" w:themeColor="text1"/>
        </w:rPr>
        <w:t xml:space="preserve"> gifted </w:t>
      </w:r>
      <w:r w:rsidR="00447FA4" w:rsidRPr="00765CB8">
        <w:rPr>
          <w:rFonts w:ascii="Times New Roman" w:hAnsi="Times New Roman" w:cs="Times New Roman"/>
          <w:color w:val="000000" w:themeColor="text1"/>
        </w:rPr>
        <w:t>his</w:t>
      </w:r>
      <w:r w:rsidR="00D77125" w:rsidRPr="00765CB8">
        <w:rPr>
          <w:rFonts w:ascii="Times New Roman" w:hAnsi="Times New Roman" w:cs="Times New Roman"/>
          <w:color w:val="000000" w:themeColor="text1"/>
        </w:rPr>
        <w:t xml:space="preserve"> property to a UK charity but then t</w:t>
      </w:r>
      <w:r w:rsidRPr="00765CB8">
        <w:rPr>
          <w:rFonts w:ascii="Times New Roman" w:hAnsi="Times New Roman" w:cs="Times New Roman"/>
          <w:color w:val="000000" w:themeColor="text1"/>
        </w:rPr>
        <w:t>hree</w:t>
      </w:r>
      <w:r w:rsidR="00D77125" w:rsidRPr="00765CB8">
        <w:rPr>
          <w:rFonts w:ascii="Times New Roman" w:hAnsi="Times New Roman" w:cs="Times New Roman"/>
          <w:color w:val="000000" w:themeColor="text1"/>
        </w:rPr>
        <w:t xml:space="preserve"> years later </w:t>
      </w:r>
      <w:r w:rsidRPr="00765CB8">
        <w:rPr>
          <w:rFonts w:ascii="Times New Roman" w:hAnsi="Times New Roman" w:cs="Times New Roman"/>
          <w:color w:val="000000" w:themeColor="text1"/>
        </w:rPr>
        <w:t xml:space="preserve">dies having in the meantime </w:t>
      </w:r>
      <w:r w:rsidR="00D77125" w:rsidRPr="00765CB8">
        <w:rPr>
          <w:rFonts w:ascii="Times New Roman" w:hAnsi="Times New Roman" w:cs="Times New Roman"/>
          <w:color w:val="000000" w:themeColor="text1"/>
        </w:rPr>
        <w:t xml:space="preserve">become habitually resident </w:t>
      </w:r>
      <w:r w:rsidRPr="00765CB8">
        <w:rPr>
          <w:rFonts w:ascii="Times New Roman" w:hAnsi="Times New Roman" w:cs="Times New Roman"/>
          <w:color w:val="000000" w:themeColor="text1"/>
        </w:rPr>
        <w:t xml:space="preserve">in </w:t>
      </w:r>
      <w:r w:rsidR="00250D49" w:rsidRPr="00765CB8">
        <w:rPr>
          <w:rFonts w:ascii="Times New Roman" w:hAnsi="Times New Roman" w:cs="Times New Roman"/>
          <w:color w:val="000000" w:themeColor="text1"/>
        </w:rPr>
        <w:t>Belgium</w:t>
      </w:r>
      <w:r w:rsidRPr="00765CB8">
        <w:rPr>
          <w:rFonts w:ascii="Times New Roman" w:hAnsi="Times New Roman" w:cs="Times New Roman"/>
          <w:color w:val="000000" w:themeColor="text1"/>
        </w:rPr>
        <w:t>, albeit still domiciled in Scotland</w:t>
      </w:r>
      <w:r w:rsidR="00D77125" w:rsidRPr="00765CB8">
        <w:rPr>
          <w:rFonts w:ascii="Times New Roman" w:hAnsi="Times New Roman" w:cs="Times New Roman"/>
          <w:color w:val="000000" w:themeColor="text1"/>
        </w:rPr>
        <w:t xml:space="preserve">, unless he </w:t>
      </w:r>
      <w:r w:rsidRPr="00765CB8">
        <w:rPr>
          <w:rFonts w:ascii="Times New Roman" w:hAnsi="Times New Roman" w:cs="Times New Roman"/>
          <w:color w:val="000000" w:themeColor="text1"/>
        </w:rPr>
        <w:t xml:space="preserve">had </w:t>
      </w:r>
      <w:r w:rsidR="00D77125" w:rsidRPr="00765CB8">
        <w:rPr>
          <w:rFonts w:ascii="Times New Roman" w:hAnsi="Times New Roman" w:cs="Times New Roman"/>
          <w:color w:val="000000" w:themeColor="text1"/>
        </w:rPr>
        <w:t>chose</w:t>
      </w:r>
      <w:r w:rsidRPr="00765CB8">
        <w:rPr>
          <w:rFonts w:ascii="Times New Roman" w:hAnsi="Times New Roman" w:cs="Times New Roman"/>
          <w:color w:val="000000" w:themeColor="text1"/>
        </w:rPr>
        <w:t>n Scots law as the law of his</w:t>
      </w:r>
      <w:r w:rsidR="00D77125" w:rsidRPr="00765CB8">
        <w:rPr>
          <w:rFonts w:ascii="Times New Roman" w:hAnsi="Times New Roman" w:cs="Times New Roman"/>
          <w:color w:val="000000" w:themeColor="text1"/>
        </w:rPr>
        <w:t xml:space="preserve"> nationality to govern his estate, the </w:t>
      </w:r>
      <w:r w:rsidR="00250D49" w:rsidRPr="00765CB8">
        <w:rPr>
          <w:rFonts w:ascii="Times New Roman" w:hAnsi="Times New Roman" w:cs="Times New Roman"/>
          <w:color w:val="000000" w:themeColor="text1"/>
        </w:rPr>
        <w:t>Belgian</w:t>
      </w:r>
      <w:r w:rsidRPr="00765CB8">
        <w:rPr>
          <w:rFonts w:ascii="Times New Roman" w:hAnsi="Times New Roman" w:cs="Times New Roman"/>
          <w:color w:val="000000" w:themeColor="text1"/>
        </w:rPr>
        <w:t xml:space="preserve"> authorit</w:t>
      </w:r>
      <w:r w:rsidR="00250D49" w:rsidRPr="00765CB8">
        <w:rPr>
          <w:rFonts w:ascii="Times New Roman" w:hAnsi="Times New Roman" w:cs="Times New Roman"/>
          <w:color w:val="000000" w:themeColor="text1"/>
        </w:rPr>
        <w:t>i</w:t>
      </w:r>
      <w:r w:rsidRPr="00765CB8">
        <w:rPr>
          <w:rFonts w:ascii="Times New Roman" w:hAnsi="Times New Roman" w:cs="Times New Roman"/>
          <w:color w:val="000000" w:themeColor="text1"/>
        </w:rPr>
        <w:t xml:space="preserve">es would have to deal with the succession under Article </w:t>
      </w:r>
      <w:r w:rsidR="00250D49" w:rsidRPr="00765CB8">
        <w:rPr>
          <w:rFonts w:ascii="Times New Roman" w:hAnsi="Times New Roman" w:cs="Times New Roman"/>
          <w:color w:val="000000" w:themeColor="text1"/>
        </w:rPr>
        <w:t xml:space="preserve">4 </w:t>
      </w:r>
      <w:r w:rsidR="00840855">
        <w:rPr>
          <w:rFonts w:ascii="Times New Roman" w:hAnsi="Times New Roman" w:cs="Times New Roman"/>
          <w:color w:val="000000" w:themeColor="text1"/>
        </w:rPr>
        <w:t xml:space="preserve">of the </w:t>
      </w:r>
      <w:r w:rsidR="00250D49" w:rsidRPr="00765CB8">
        <w:rPr>
          <w:rFonts w:ascii="Times New Roman" w:hAnsi="Times New Roman" w:cs="Times New Roman"/>
          <w:color w:val="000000" w:themeColor="text1"/>
        </w:rPr>
        <w:t>Succession Regulation and</w:t>
      </w:r>
      <w:r w:rsidRPr="00765CB8">
        <w:rPr>
          <w:rFonts w:ascii="Times New Roman" w:hAnsi="Times New Roman" w:cs="Times New Roman"/>
          <w:color w:val="000000" w:themeColor="text1"/>
        </w:rPr>
        <w:t xml:space="preserve"> </w:t>
      </w:r>
      <w:r w:rsidR="00D77125" w:rsidRPr="00765CB8">
        <w:rPr>
          <w:rFonts w:ascii="Times New Roman" w:hAnsi="Times New Roman" w:cs="Times New Roman"/>
          <w:color w:val="000000" w:themeColor="text1"/>
        </w:rPr>
        <w:t xml:space="preserve">the gift he made to the charity would be subject to </w:t>
      </w:r>
      <w:r w:rsidR="00250D49" w:rsidRPr="00765CB8">
        <w:rPr>
          <w:rFonts w:ascii="Times New Roman" w:hAnsi="Times New Roman" w:cs="Times New Roman"/>
          <w:color w:val="000000" w:themeColor="text1"/>
        </w:rPr>
        <w:t>Belgian</w:t>
      </w:r>
      <w:r w:rsidR="00D77125" w:rsidRPr="00765CB8">
        <w:rPr>
          <w:rFonts w:ascii="Times New Roman" w:hAnsi="Times New Roman" w:cs="Times New Roman"/>
          <w:color w:val="000000" w:themeColor="text1"/>
        </w:rPr>
        <w:t xml:space="preserve"> law and the possibility of clawback.</w:t>
      </w:r>
      <w:r w:rsidR="00D77125" w:rsidRPr="00765CB8">
        <w:rPr>
          <w:rStyle w:val="FootnoteReference"/>
          <w:rFonts w:ascii="Times New Roman" w:hAnsi="Times New Roman" w:cs="Times New Roman"/>
          <w:color w:val="000000" w:themeColor="text1"/>
        </w:rPr>
        <w:footnoteReference w:id="53"/>
      </w:r>
      <w:r w:rsidR="00D77125" w:rsidRPr="00765CB8">
        <w:rPr>
          <w:rFonts w:ascii="Times New Roman" w:hAnsi="Times New Roman" w:cs="Times New Roman"/>
          <w:color w:val="000000" w:themeColor="text1"/>
        </w:rPr>
        <w:t xml:space="preserve"> The retroactive element to this approach is highly questionable.</w:t>
      </w:r>
      <w:r w:rsidR="00D77125" w:rsidRPr="00765CB8">
        <w:rPr>
          <w:rStyle w:val="FootnoteReference"/>
          <w:rFonts w:ascii="Times New Roman" w:hAnsi="Times New Roman" w:cs="Times New Roman"/>
          <w:color w:val="000000" w:themeColor="text1"/>
        </w:rPr>
        <w:footnoteReference w:id="54"/>
      </w:r>
      <w:r w:rsidR="00250D49" w:rsidRPr="00765CB8">
        <w:rPr>
          <w:rFonts w:ascii="Times New Roman" w:hAnsi="Times New Roman" w:cs="Times New Roman"/>
          <w:color w:val="000000" w:themeColor="text1"/>
        </w:rPr>
        <w:t xml:space="preserve"> If the UK charity has assets in any EU Member State participating in the Succession Regulation (not just as in the past in the country concerned – in this case Belgium – a much less likely proposition) it may not be able to simply ignore an order of the Belgian courts to repay the gift to the estate.</w:t>
      </w:r>
    </w:p>
    <w:p w14:paraId="7D2AA94E" w14:textId="77777777" w:rsidR="00BE4200" w:rsidRPr="00765CB8" w:rsidRDefault="00BE4200" w:rsidP="00765CB8">
      <w:pPr>
        <w:jc w:val="both"/>
        <w:rPr>
          <w:rFonts w:ascii="Times New Roman" w:hAnsi="Times New Roman" w:cs="Times New Roman"/>
          <w:color w:val="000000" w:themeColor="text1"/>
        </w:rPr>
      </w:pPr>
    </w:p>
    <w:p w14:paraId="68AE2379" w14:textId="77777777" w:rsidR="00D77125" w:rsidRPr="00765CB8" w:rsidRDefault="00D77125"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In extreme </w:t>
      </w:r>
      <w:r w:rsidR="00D779EB" w:rsidRPr="00765CB8">
        <w:rPr>
          <w:rFonts w:ascii="Times New Roman" w:hAnsi="Times New Roman" w:cs="Times New Roman"/>
          <w:color w:val="000000" w:themeColor="text1"/>
        </w:rPr>
        <w:t>cases</w:t>
      </w:r>
      <w:r w:rsidRPr="00765CB8">
        <w:rPr>
          <w:rFonts w:ascii="Times New Roman" w:hAnsi="Times New Roman" w:cs="Times New Roman"/>
          <w:color w:val="000000" w:themeColor="text1"/>
        </w:rPr>
        <w:t xml:space="preserve">, clawback </w:t>
      </w:r>
      <w:r w:rsidR="002F159C" w:rsidRPr="00765CB8">
        <w:rPr>
          <w:rFonts w:ascii="Times New Roman" w:hAnsi="Times New Roman" w:cs="Times New Roman"/>
          <w:color w:val="000000" w:themeColor="text1"/>
        </w:rPr>
        <w:t xml:space="preserve">may </w:t>
      </w:r>
      <w:r w:rsidRPr="00765CB8">
        <w:rPr>
          <w:rFonts w:ascii="Times New Roman" w:hAnsi="Times New Roman" w:cs="Times New Roman"/>
          <w:color w:val="000000" w:themeColor="text1"/>
        </w:rPr>
        <w:t xml:space="preserve">apply to gifts that were given decades before the death of the deceased and </w:t>
      </w:r>
      <w:r w:rsidR="002F159C" w:rsidRPr="00765CB8">
        <w:rPr>
          <w:rFonts w:ascii="Times New Roman" w:hAnsi="Times New Roman" w:cs="Times New Roman"/>
          <w:color w:val="000000" w:themeColor="text1"/>
        </w:rPr>
        <w:t xml:space="preserve">may </w:t>
      </w:r>
      <w:r w:rsidRPr="00765CB8">
        <w:rPr>
          <w:rFonts w:ascii="Times New Roman" w:hAnsi="Times New Roman" w:cs="Times New Roman"/>
          <w:color w:val="000000" w:themeColor="text1"/>
        </w:rPr>
        <w:t>be claimed by a beneficiary to the estate decades after the death of the donor.</w:t>
      </w:r>
      <w:r w:rsidRPr="00765CB8">
        <w:rPr>
          <w:rStyle w:val="FootnoteReference"/>
          <w:rFonts w:ascii="Times New Roman" w:hAnsi="Times New Roman" w:cs="Times New Roman"/>
          <w:color w:val="000000" w:themeColor="text1"/>
        </w:rPr>
        <w:footnoteReference w:id="55"/>
      </w:r>
      <w:r w:rsidR="002F159C" w:rsidRPr="00765CB8">
        <w:rPr>
          <w:rFonts w:ascii="Times New Roman" w:hAnsi="Times New Roman" w:cs="Times New Roman"/>
          <w:color w:val="000000" w:themeColor="text1"/>
        </w:rPr>
        <w:t xml:space="preserve"> In </w:t>
      </w:r>
      <w:r w:rsidR="00844331" w:rsidRPr="00765CB8">
        <w:rPr>
          <w:rFonts w:ascii="Times New Roman" w:hAnsi="Times New Roman" w:cs="Times New Roman"/>
          <w:color w:val="000000" w:themeColor="text1"/>
        </w:rPr>
        <w:t xml:space="preserve">these </w:t>
      </w:r>
      <w:r w:rsidR="002F159C" w:rsidRPr="00765CB8">
        <w:rPr>
          <w:rFonts w:ascii="Times New Roman" w:hAnsi="Times New Roman" w:cs="Times New Roman"/>
          <w:color w:val="000000" w:themeColor="text1"/>
        </w:rPr>
        <w:t>cross-border succession cases f</w:t>
      </w:r>
      <w:r w:rsidRPr="00765CB8">
        <w:rPr>
          <w:rFonts w:ascii="Times New Roman" w:hAnsi="Times New Roman" w:cs="Times New Roman"/>
          <w:color w:val="000000" w:themeColor="text1"/>
        </w:rPr>
        <w:t>or the purpose of managing the estate, how will a notary/executor know whether a gift has been made if there is no record of the donation because at the time the gift was made there was no indication that clawback would apply and therefore no need to record the event?</w:t>
      </w:r>
      <w:r w:rsidR="00844331" w:rsidRPr="00765CB8">
        <w:rPr>
          <w:rFonts w:ascii="Times New Roman" w:hAnsi="Times New Roman" w:cs="Times New Roman"/>
          <w:color w:val="000000" w:themeColor="text1"/>
        </w:rPr>
        <w:t xml:space="preserve"> It will be interesting to see how this will work in practice. </w:t>
      </w:r>
    </w:p>
    <w:p w14:paraId="7B93C8D2" w14:textId="77777777" w:rsidR="00D77125" w:rsidRPr="00765CB8" w:rsidRDefault="00D77125" w:rsidP="00765CB8">
      <w:pPr>
        <w:jc w:val="both"/>
        <w:rPr>
          <w:rFonts w:ascii="Times New Roman" w:hAnsi="Times New Roman" w:cs="Times New Roman"/>
          <w:color w:val="000000" w:themeColor="text1"/>
        </w:rPr>
      </w:pPr>
    </w:p>
    <w:p w14:paraId="6EDE26E6" w14:textId="47391D3D" w:rsidR="00D77125" w:rsidRDefault="002455E1" w:rsidP="00765CB8">
      <w:pPr>
        <w:jc w:val="both"/>
        <w:rPr>
          <w:rFonts w:ascii="Times New Roman" w:hAnsi="Times New Roman" w:cs="Times New Roman"/>
          <w:i/>
          <w:color w:val="000000" w:themeColor="text1"/>
        </w:rPr>
      </w:pPr>
      <w:r w:rsidRPr="00765CB8">
        <w:rPr>
          <w:rFonts w:ascii="Times New Roman" w:hAnsi="Times New Roman" w:cs="Times New Roman"/>
          <w:i/>
          <w:color w:val="000000" w:themeColor="text1"/>
        </w:rPr>
        <w:t>Scenario</w:t>
      </w:r>
    </w:p>
    <w:p w14:paraId="75237CA8" w14:textId="77777777" w:rsidR="00E16B37" w:rsidRPr="00765CB8" w:rsidRDefault="00E16B37" w:rsidP="00765CB8">
      <w:pPr>
        <w:jc w:val="both"/>
        <w:rPr>
          <w:rFonts w:ascii="Times New Roman" w:hAnsi="Times New Roman" w:cs="Times New Roman"/>
          <w:color w:val="000000" w:themeColor="text1"/>
        </w:rPr>
      </w:pPr>
    </w:p>
    <w:p w14:paraId="5B873545" w14:textId="1031CEAC" w:rsidR="00D77125" w:rsidRPr="00765CB8" w:rsidRDefault="00D77125" w:rsidP="00765CB8">
      <w:pPr>
        <w:jc w:val="both"/>
        <w:rPr>
          <w:rFonts w:ascii="Times New Roman" w:hAnsi="Times New Roman" w:cs="Times New Roman"/>
          <w:i/>
          <w:color w:val="000000" w:themeColor="text1"/>
        </w:rPr>
      </w:pPr>
      <w:r w:rsidRPr="00765CB8">
        <w:rPr>
          <w:rFonts w:ascii="Times New Roman" w:hAnsi="Times New Roman" w:cs="Times New Roman"/>
          <w:i/>
          <w:color w:val="000000" w:themeColor="text1"/>
        </w:rPr>
        <w:t>In 2012, George, a thirty-two-year-old married man, domiciled and habitually resident in Scotland, gifted immov</w:t>
      </w:r>
      <w:r w:rsidR="00D11A50" w:rsidRPr="00765CB8">
        <w:rPr>
          <w:rFonts w:ascii="Times New Roman" w:hAnsi="Times New Roman" w:cs="Times New Roman"/>
          <w:i/>
          <w:color w:val="000000" w:themeColor="text1"/>
        </w:rPr>
        <w:t>e</w:t>
      </w:r>
      <w:r w:rsidRPr="00765CB8">
        <w:rPr>
          <w:rFonts w:ascii="Times New Roman" w:hAnsi="Times New Roman" w:cs="Times New Roman"/>
          <w:i/>
          <w:color w:val="000000" w:themeColor="text1"/>
        </w:rPr>
        <w:t>able property of a house, which was situated in Scotland, to his close friend Kate who was also domiciled and habitually resident in</w:t>
      </w:r>
      <w:r w:rsidR="00D11A50" w:rsidRPr="00765CB8">
        <w:rPr>
          <w:rFonts w:ascii="Times New Roman" w:hAnsi="Times New Roman" w:cs="Times New Roman"/>
          <w:i/>
          <w:color w:val="000000" w:themeColor="text1"/>
        </w:rPr>
        <w:t xml:space="preserve"> Scotland. In 2015, George moved</w:t>
      </w:r>
      <w:r w:rsidRPr="00765CB8">
        <w:rPr>
          <w:rFonts w:ascii="Times New Roman" w:hAnsi="Times New Roman" w:cs="Times New Roman"/>
          <w:i/>
          <w:color w:val="000000" w:themeColor="text1"/>
        </w:rPr>
        <w:t xml:space="preserve"> to </w:t>
      </w:r>
      <w:r w:rsidR="00BD018B" w:rsidRPr="00765CB8">
        <w:rPr>
          <w:rFonts w:ascii="Times New Roman" w:hAnsi="Times New Roman" w:cs="Times New Roman"/>
          <w:i/>
          <w:color w:val="000000" w:themeColor="text1"/>
        </w:rPr>
        <w:t>a participating EU Member State</w:t>
      </w:r>
      <w:r w:rsidRPr="00765CB8">
        <w:rPr>
          <w:rFonts w:ascii="Times New Roman" w:hAnsi="Times New Roman" w:cs="Times New Roman"/>
          <w:i/>
          <w:color w:val="000000" w:themeColor="text1"/>
        </w:rPr>
        <w:t xml:space="preserve">, gets married, has two children and becomes habitually resident there. He dies intestate in </w:t>
      </w:r>
      <w:r w:rsidR="00BD018B" w:rsidRPr="00765CB8">
        <w:rPr>
          <w:rFonts w:ascii="Times New Roman" w:hAnsi="Times New Roman" w:cs="Times New Roman"/>
          <w:i/>
          <w:color w:val="000000" w:themeColor="text1"/>
        </w:rPr>
        <w:t>that State</w:t>
      </w:r>
      <w:r w:rsidRPr="00765CB8">
        <w:rPr>
          <w:rFonts w:ascii="Times New Roman" w:hAnsi="Times New Roman" w:cs="Times New Roman"/>
          <w:i/>
          <w:color w:val="000000" w:themeColor="text1"/>
        </w:rPr>
        <w:t xml:space="preserve"> in 20</w:t>
      </w:r>
      <w:r w:rsidR="00FE0232">
        <w:rPr>
          <w:rFonts w:ascii="Times New Roman" w:hAnsi="Times New Roman" w:cs="Times New Roman"/>
          <w:i/>
          <w:color w:val="000000" w:themeColor="text1"/>
        </w:rPr>
        <w:t>2</w:t>
      </w:r>
      <w:r w:rsidRPr="00765CB8">
        <w:rPr>
          <w:rFonts w:ascii="Times New Roman" w:hAnsi="Times New Roman" w:cs="Times New Roman"/>
          <w:i/>
          <w:color w:val="000000" w:themeColor="text1"/>
        </w:rPr>
        <w:t xml:space="preserve">5 aged </w:t>
      </w:r>
      <w:r w:rsidR="00FE0232">
        <w:rPr>
          <w:rFonts w:ascii="Times New Roman" w:hAnsi="Times New Roman" w:cs="Times New Roman"/>
          <w:i/>
          <w:color w:val="000000" w:themeColor="text1"/>
        </w:rPr>
        <w:t>4</w:t>
      </w:r>
      <w:r w:rsidRPr="00765CB8">
        <w:rPr>
          <w:rFonts w:ascii="Times New Roman" w:hAnsi="Times New Roman" w:cs="Times New Roman"/>
          <w:i/>
          <w:color w:val="000000" w:themeColor="text1"/>
        </w:rPr>
        <w:t xml:space="preserve">5. </w:t>
      </w:r>
    </w:p>
    <w:p w14:paraId="6D1391AC" w14:textId="77777777" w:rsidR="00D77125" w:rsidRPr="00765CB8" w:rsidRDefault="00D77125" w:rsidP="00765CB8">
      <w:pPr>
        <w:jc w:val="both"/>
        <w:rPr>
          <w:rFonts w:ascii="Times New Roman" w:hAnsi="Times New Roman" w:cs="Times New Roman"/>
          <w:color w:val="000000" w:themeColor="text1"/>
        </w:rPr>
      </w:pPr>
    </w:p>
    <w:p w14:paraId="22C86C1F" w14:textId="77777777" w:rsidR="007548F7" w:rsidRDefault="00D77125"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Under the Succession Regulation, in the absence of choice, the law of George’s habitual residence at the time of death governs the estate. </w:t>
      </w:r>
      <w:r w:rsidR="00BD018B" w:rsidRPr="00765CB8">
        <w:rPr>
          <w:rFonts w:ascii="Times New Roman" w:hAnsi="Times New Roman" w:cs="Times New Roman"/>
          <w:color w:val="000000" w:themeColor="text1"/>
        </w:rPr>
        <w:t>That</w:t>
      </w:r>
      <w:r w:rsidRPr="00765CB8">
        <w:rPr>
          <w:rFonts w:ascii="Times New Roman" w:hAnsi="Times New Roman" w:cs="Times New Roman"/>
          <w:color w:val="000000" w:themeColor="text1"/>
        </w:rPr>
        <w:t xml:space="preserve"> law will therefore apply </w:t>
      </w:r>
      <w:r w:rsidR="00BD018B" w:rsidRPr="00765CB8">
        <w:rPr>
          <w:rFonts w:ascii="Times New Roman" w:hAnsi="Times New Roman" w:cs="Times New Roman"/>
          <w:color w:val="000000" w:themeColor="text1"/>
        </w:rPr>
        <w:t>to the</w:t>
      </w:r>
      <w:r w:rsidRPr="00765CB8">
        <w:rPr>
          <w:rFonts w:ascii="Times New Roman" w:hAnsi="Times New Roman" w:cs="Times New Roman"/>
          <w:color w:val="000000" w:themeColor="text1"/>
        </w:rPr>
        <w:t xml:space="preserve"> forced heirship claims and clawback. Under </w:t>
      </w:r>
      <w:r w:rsidR="00BD018B" w:rsidRPr="00765CB8">
        <w:rPr>
          <w:rFonts w:ascii="Times New Roman" w:hAnsi="Times New Roman" w:cs="Times New Roman"/>
          <w:color w:val="000000" w:themeColor="text1"/>
        </w:rPr>
        <w:t>that</w:t>
      </w:r>
      <w:r w:rsidRPr="00765CB8">
        <w:rPr>
          <w:rFonts w:ascii="Times New Roman" w:hAnsi="Times New Roman" w:cs="Times New Roman"/>
          <w:color w:val="000000" w:themeColor="text1"/>
        </w:rPr>
        <w:t xml:space="preserve"> law the property would be liable to be returned to the estate to meet the claims.</w:t>
      </w:r>
    </w:p>
    <w:p w14:paraId="7DE8A5D1" w14:textId="77777777" w:rsidR="00BE4200" w:rsidRPr="00765CB8" w:rsidRDefault="00BE4200" w:rsidP="00765CB8">
      <w:pPr>
        <w:jc w:val="both"/>
        <w:rPr>
          <w:rFonts w:ascii="Times New Roman" w:hAnsi="Times New Roman" w:cs="Times New Roman"/>
          <w:color w:val="000000" w:themeColor="text1"/>
        </w:rPr>
      </w:pPr>
    </w:p>
    <w:p w14:paraId="612E4AD8" w14:textId="61D2471E" w:rsidR="007548F7" w:rsidRDefault="00D77125"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In the meantime, Kate has been living in her house for </w:t>
      </w:r>
      <w:r w:rsidR="00FE0232">
        <w:rPr>
          <w:rFonts w:ascii="Times New Roman" w:hAnsi="Times New Roman" w:cs="Times New Roman"/>
          <w:color w:val="000000" w:themeColor="text1"/>
        </w:rPr>
        <w:t>1</w:t>
      </w:r>
      <w:r w:rsidRPr="00765CB8">
        <w:rPr>
          <w:rFonts w:ascii="Times New Roman" w:hAnsi="Times New Roman" w:cs="Times New Roman"/>
          <w:color w:val="000000" w:themeColor="text1"/>
        </w:rPr>
        <w:t>3 years.</w:t>
      </w:r>
      <w:r w:rsidR="00F23E47">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 xml:space="preserve">At the time the gift was made, the law that governed the gift was the </w:t>
      </w:r>
      <w:r w:rsidRPr="00765CB8">
        <w:rPr>
          <w:rFonts w:ascii="Times New Roman" w:hAnsi="Times New Roman" w:cs="Times New Roman"/>
          <w:i/>
          <w:color w:val="000000" w:themeColor="text1"/>
        </w:rPr>
        <w:t>lex situs</w:t>
      </w:r>
      <w:r w:rsidRPr="00765CB8">
        <w:rPr>
          <w:rFonts w:ascii="Times New Roman" w:hAnsi="Times New Roman" w:cs="Times New Roman"/>
          <w:color w:val="000000" w:themeColor="text1"/>
        </w:rPr>
        <w:t xml:space="preserve">, the law of Scotland. The law of Scotland did not recognise clawback for the purpose of succession at the time the gift was </w:t>
      </w:r>
      <w:proofErr w:type="gramStart"/>
      <w:r w:rsidRPr="00765CB8">
        <w:rPr>
          <w:rFonts w:ascii="Times New Roman" w:hAnsi="Times New Roman" w:cs="Times New Roman"/>
          <w:color w:val="000000" w:themeColor="text1"/>
        </w:rPr>
        <w:t>made</w:t>
      </w:r>
      <w:proofErr w:type="gramEnd"/>
      <w:r w:rsidRPr="00765CB8">
        <w:rPr>
          <w:rFonts w:ascii="Times New Roman" w:hAnsi="Times New Roman" w:cs="Times New Roman"/>
          <w:color w:val="000000" w:themeColor="text1"/>
        </w:rPr>
        <w:t xml:space="preserve"> </w:t>
      </w:r>
      <w:r w:rsidR="006124EB" w:rsidRPr="00765CB8">
        <w:rPr>
          <w:rFonts w:ascii="Times New Roman" w:hAnsi="Times New Roman" w:cs="Times New Roman"/>
          <w:color w:val="000000" w:themeColor="text1"/>
        </w:rPr>
        <w:t>and</w:t>
      </w:r>
      <w:r w:rsidRPr="00765CB8">
        <w:rPr>
          <w:rFonts w:ascii="Times New Roman" w:hAnsi="Times New Roman" w:cs="Times New Roman"/>
          <w:color w:val="000000" w:themeColor="text1"/>
        </w:rPr>
        <w:t xml:space="preserve"> the issue of clawback could not have been foreseen</w:t>
      </w:r>
      <w:r w:rsidR="006124EB" w:rsidRPr="00765CB8">
        <w:rPr>
          <w:rFonts w:ascii="Times New Roman" w:hAnsi="Times New Roman" w:cs="Times New Roman"/>
          <w:color w:val="000000" w:themeColor="text1"/>
        </w:rPr>
        <w:t xml:space="preserve"> by either the donor or the donee</w:t>
      </w:r>
      <w:r w:rsidRPr="00765CB8">
        <w:rPr>
          <w:rFonts w:ascii="Times New Roman" w:hAnsi="Times New Roman" w:cs="Times New Roman"/>
          <w:color w:val="000000" w:themeColor="text1"/>
        </w:rPr>
        <w:t>. If Kate had known about the risk she could have made a decision whether to accept the property or not, or to take out insurance against a possible future claim. In Scotland, the Land Registry guarantees the title of the property, therefore introducing clawback at this point risks undermining that title and would infringe Kate’s right to the peaceful enjoyment of her property.</w:t>
      </w:r>
    </w:p>
    <w:p w14:paraId="47FA2D7D" w14:textId="77777777" w:rsidR="00BD19D8" w:rsidRPr="00765CB8" w:rsidRDefault="00BD19D8" w:rsidP="00765CB8">
      <w:pPr>
        <w:jc w:val="both"/>
        <w:rPr>
          <w:rFonts w:ascii="Times New Roman" w:hAnsi="Times New Roman" w:cs="Times New Roman"/>
          <w:color w:val="000000" w:themeColor="text1"/>
        </w:rPr>
      </w:pPr>
    </w:p>
    <w:p w14:paraId="63AFF943" w14:textId="45B18222" w:rsidR="007548F7" w:rsidRPr="00765CB8" w:rsidRDefault="00D77125"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The decision by the negotiators </w:t>
      </w:r>
      <w:r w:rsidR="00D11A50" w:rsidRPr="00765CB8">
        <w:rPr>
          <w:rFonts w:ascii="Times New Roman" w:hAnsi="Times New Roman" w:cs="Times New Roman"/>
          <w:color w:val="000000" w:themeColor="text1"/>
        </w:rPr>
        <w:t xml:space="preserve">of the Succession Regulation </w:t>
      </w:r>
      <w:r w:rsidRPr="00765CB8">
        <w:rPr>
          <w:rFonts w:ascii="Times New Roman" w:hAnsi="Times New Roman" w:cs="Times New Roman"/>
          <w:color w:val="000000" w:themeColor="text1"/>
        </w:rPr>
        <w:t xml:space="preserve">to use the law applicable to the succession in relation to gifts that can be restored to the estate for the purpose of clawback, has the potential to </w:t>
      </w:r>
      <w:r w:rsidR="00D11A50" w:rsidRPr="00765CB8">
        <w:rPr>
          <w:rFonts w:ascii="Times New Roman" w:hAnsi="Times New Roman" w:cs="Times New Roman"/>
          <w:color w:val="000000" w:themeColor="text1"/>
        </w:rPr>
        <w:t>constitute</w:t>
      </w:r>
      <w:r w:rsidRPr="00765CB8">
        <w:rPr>
          <w:rFonts w:ascii="Times New Roman" w:hAnsi="Times New Roman" w:cs="Times New Roman"/>
          <w:color w:val="000000" w:themeColor="text1"/>
        </w:rPr>
        <w:t xml:space="preserve"> a disproportionate and intolerable interference in the </w:t>
      </w:r>
      <w:proofErr w:type="spellStart"/>
      <w:r w:rsidRPr="00765CB8">
        <w:rPr>
          <w:rFonts w:ascii="Times New Roman" w:hAnsi="Times New Roman" w:cs="Times New Roman"/>
          <w:color w:val="000000" w:themeColor="text1"/>
        </w:rPr>
        <w:t>donee’s</w:t>
      </w:r>
      <w:proofErr w:type="spellEnd"/>
      <w:r w:rsidRPr="00765CB8">
        <w:rPr>
          <w:rFonts w:ascii="Times New Roman" w:hAnsi="Times New Roman" w:cs="Times New Roman"/>
          <w:color w:val="000000" w:themeColor="text1"/>
        </w:rPr>
        <w:t xml:space="preserve"> right </w:t>
      </w:r>
      <w:r w:rsidRPr="00765CB8">
        <w:rPr>
          <w:rFonts w:ascii="Times New Roman" w:hAnsi="Times New Roman" w:cs="Times New Roman"/>
          <w:i/>
          <w:color w:val="000000" w:themeColor="text1"/>
        </w:rPr>
        <w:t>in rem</w:t>
      </w:r>
      <w:r w:rsidRPr="00765CB8">
        <w:rPr>
          <w:rFonts w:ascii="Times New Roman" w:hAnsi="Times New Roman" w:cs="Times New Roman"/>
          <w:color w:val="000000" w:themeColor="text1"/>
        </w:rPr>
        <w:t xml:space="preserve"> </w:t>
      </w:r>
      <w:r w:rsidR="00D11A50" w:rsidRPr="00765CB8">
        <w:rPr>
          <w:rFonts w:ascii="Times New Roman" w:hAnsi="Times New Roman" w:cs="Times New Roman"/>
          <w:color w:val="000000" w:themeColor="text1"/>
        </w:rPr>
        <w:t>as</w:t>
      </w:r>
      <w:r w:rsidRPr="00765CB8">
        <w:rPr>
          <w:rFonts w:ascii="Times New Roman" w:hAnsi="Times New Roman" w:cs="Times New Roman"/>
          <w:color w:val="000000" w:themeColor="text1"/>
        </w:rPr>
        <w:t xml:space="preserve"> the issue of clawback was not f</w:t>
      </w:r>
      <w:r w:rsidR="00D11A50" w:rsidRPr="00765CB8">
        <w:rPr>
          <w:rFonts w:ascii="Times New Roman" w:hAnsi="Times New Roman" w:cs="Times New Roman"/>
          <w:color w:val="000000" w:themeColor="text1"/>
        </w:rPr>
        <w:t>oreseeable and therefore impairs</w:t>
      </w:r>
      <w:r w:rsidRPr="00765CB8">
        <w:rPr>
          <w:rFonts w:ascii="Times New Roman" w:hAnsi="Times New Roman" w:cs="Times New Roman"/>
          <w:color w:val="000000" w:themeColor="text1"/>
        </w:rPr>
        <w:t xml:space="preserve"> the substance of the </w:t>
      </w:r>
      <w:proofErr w:type="spellStart"/>
      <w:r w:rsidRPr="00765CB8">
        <w:rPr>
          <w:rFonts w:ascii="Times New Roman" w:hAnsi="Times New Roman" w:cs="Times New Roman"/>
          <w:color w:val="000000" w:themeColor="text1"/>
        </w:rPr>
        <w:t>donee’s</w:t>
      </w:r>
      <w:proofErr w:type="spellEnd"/>
      <w:r w:rsidRPr="00765CB8">
        <w:rPr>
          <w:rFonts w:ascii="Times New Roman" w:hAnsi="Times New Roman" w:cs="Times New Roman"/>
          <w:color w:val="000000" w:themeColor="text1"/>
        </w:rPr>
        <w:t xml:space="preserve"> guaranteed rights.</w:t>
      </w:r>
      <w:r w:rsidR="0044410B">
        <w:rPr>
          <w:rFonts w:ascii="Times New Roman" w:hAnsi="Times New Roman" w:cs="Times New Roman"/>
          <w:color w:val="000000" w:themeColor="text1"/>
        </w:rPr>
        <w:t xml:space="preserve"> </w:t>
      </w:r>
    </w:p>
    <w:p w14:paraId="70FA6BE9" w14:textId="7A9B26AA" w:rsidR="007548F7" w:rsidRDefault="007548F7" w:rsidP="00765CB8">
      <w:pPr>
        <w:jc w:val="both"/>
        <w:rPr>
          <w:rFonts w:ascii="Times New Roman" w:hAnsi="Times New Roman" w:cs="Times New Roman"/>
          <w:color w:val="000000" w:themeColor="text1"/>
        </w:rPr>
      </w:pPr>
    </w:p>
    <w:p w14:paraId="2D27312F" w14:textId="77777777" w:rsidR="00D37DE8" w:rsidRPr="00765CB8" w:rsidRDefault="00D37DE8" w:rsidP="00765CB8">
      <w:pPr>
        <w:jc w:val="both"/>
        <w:rPr>
          <w:rFonts w:ascii="Times New Roman" w:hAnsi="Times New Roman" w:cs="Times New Roman"/>
          <w:color w:val="000000" w:themeColor="text1"/>
        </w:rPr>
      </w:pPr>
    </w:p>
    <w:p w14:paraId="520AAB0D" w14:textId="77777777" w:rsidR="002043AC" w:rsidRPr="00765CB8" w:rsidRDefault="00765CB8"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III. PRIVATE INTERNATIONAL LAW OF SUCCESSION IN SCOTLAND</w:t>
      </w:r>
    </w:p>
    <w:p w14:paraId="7E50F0A7" w14:textId="77777777" w:rsidR="00B06FE5" w:rsidRPr="00765CB8" w:rsidRDefault="00B06FE5" w:rsidP="00765CB8">
      <w:pPr>
        <w:jc w:val="both"/>
        <w:rPr>
          <w:rFonts w:ascii="Times New Roman" w:hAnsi="Times New Roman" w:cs="Times New Roman"/>
          <w:color w:val="000000" w:themeColor="text1"/>
        </w:rPr>
      </w:pPr>
    </w:p>
    <w:p w14:paraId="022D3C32" w14:textId="77777777" w:rsidR="00B06FE5" w:rsidRPr="00951E93" w:rsidRDefault="00951E93" w:rsidP="00765CB8">
      <w:pPr>
        <w:jc w:val="both"/>
        <w:rPr>
          <w:rFonts w:ascii="Times New Roman" w:hAnsi="Times New Roman" w:cs="Times New Roman"/>
          <w:b/>
          <w:color w:val="000000" w:themeColor="text1"/>
        </w:rPr>
      </w:pPr>
      <w:r w:rsidRPr="00951E93">
        <w:rPr>
          <w:rFonts w:ascii="Times New Roman" w:hAnsi="Times New Roman" w:cs="Times New Roman"/>
          <w:b/>
          <w:color w:val="000000" w:themeColor="text1"/>
        </w:rPr>
        <w:t xml:space="preserve">A. </w:t>
      </w:r>
      <w:r w:rsidR="000018B6" w:rsidRPr="00951E93">
        <w:rPr>
          <w:rFonts w:ascii="Times New Roman" w:hAnsi="Times New Roman" w:cs="Times New Roman"/>
          <w:b/>
          <w:color w:val="000000" w:themeColor="text1"/>
        </w:rPr>
        <w:t xml:space="preserve">Historical </w:t>
      </w:r>
      <w:r w:rsidR="008A6670" w:rsidRPr="00951E93">
        <w:rPr>
          <w:rFonts w:ascii="Times New Roman" w:hAnsi="Times New Roman" w:cs="Times New Roman"/>
          <w:b/>
          <w:color w:val="000000" w:themeColor="text1"/>
        </w:rPr>
        <w:t>background</w:t>
      </w:r>
    </w:p>
    <w:p w14:paraId="1C6AF1A7" w14:textId="77777777" w:rsidR="002E283F" w:rsidRPr="00765CB8" w:rsidRDefault="002E283F" w:rsidP="00765CB8">
      <w:pPr>
        <w:jc w:val="both"/>
        <w:rPr>
          <w:rFonts w:ascii="Times New Roman" w:hAnsi="Times New Roman" w:cs="Times New Roman"/>
          <w:color w:val="000000" w:themeColor="text1"/>
        </w:rPr>
      </w:pPr>
    </w:p>
    <w:p w14:paraId="4DC562F2" w14:textId="6456C30D" w:rsidR="007548F7" w:rsidRDefault="00B06FE5"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A fact that is often overlooked is that ‘domicile’</w:t>
      </w:r>
      <w:r w:rsidR="00CF063C" w:rsidRPr="00765CB8">
        <w:rPr>
          <w:rFonts w:ascii="Times New Roman" w:hAnsi="Times New Roman" w:cs="Times New Roman"/>
          <w:color w:val="000000" w:themeColor="text1"/>
        </w:rPr>
        <w:t xml:space="preserve"> is</w:t>
      </w:r>
      <w:r w:rsidRPr="00765CB8">
        <w:rPr>
          <w:rFonts w:ascii="Times New Roman" w:hAnsi="Times New Roman" w:cs="Times New Roman"/>
          <w:color w:val="000000" w:themeColor="text1"/>
        </w:rPr>
        <w:t xml:space="preserve"> a civilian concept </w:t>
      </w:r>
      <w:r w:rsidR="003A78C7" w:rsidRPr="00765CB8">
        <w:rPr>
          <w:rFonts w:ascii="Times New Roman" w:hAnsi="Times New Roman" w:cs="Times New Roman"/>
          <w:color w:val="000000" w:themeColor="text1"/>
        </w:rPr>
        <w:t>brought into English</w:t>
      </w:r>
      <w:r w:rsidRPr="00765CB8">
        <w:rPr>
          <w:rFonts w:ascii="Times New Roman" w:hAnsi="Times New Roman" w:cs="Times New Roman"/>
          <w:color w:val="000000" w:themeColor="text1"/>
        </w:rPr>
        <w:t xml:space="preserve"> law </w:t>
      </w:r>
      <w:r w:rsidR="00DF5EE1" w:rsidRPr="00765CB8">
        <w:rPr>
          <w:rFonts w:ascii="Times New Roman" w:hAnsi="Times New Roman" w:cs="Times New Roman"/>
          <w:color w:val="000000" w:themeColor="text1"/>
        </w:rPr>
        <w:t xml:space="preserve">from continental laws and writings </w:t>
      </w:r>
      <w:r w:rsidR="00BF2FA5" w:rsidRPr="00765CB8">
        <w:rPr>
          <w:rFonts w:ascii="Times New Roman" w:hAnsi="Times New Roman" w:cs="Times New Roman"/>
          <w:color w:val="000000" w:themeColor="text1"/>
        </w:rPr>
        <w:t>with help from</w:t>
      </w:r>
      <w:r w:rsidR="003A78C7" w:rsidRPr="00765CB8">
        <w:rPr>
          <w:rFonts w:ascii="Times New Roman" w:hAnsi="Times New Roman" w:cs="Times New Roman"/>
          <w:color w:val="000000" w:themeColor="text1"/>
        </w:rPr>
        <w:t xml:space="preserve"> Scots law</w:t>
      </w:r>
      <w:r w:rsidRPr="00765CB8">
        <w:rPr>
          <w:rFonts w:ascii="Times New Roman" w:hAnsi="Times New Roman" w:cs="Times New Roman"/>
          <w:color w:val="000000" w:themeColor="text1"/>
        </w:rPr>
        <w:t>.</w:t>
      </w:r>
      <w:r w:rsidRPr="00765CB8">
        <w:rPr>
          <w:rStyle w:val="FootnoteReference"/>
          <w:rFonts w:ascii="Times New Roman" w:hAnsi="Times New Roman" w:cs="Times New Roman"/>
          <w:color w:val="000000" w:themeColor="text1"/>
        </w:rPr>
        <w:footnoteReference w:id="56"/>
      </w:r>
      <w:r w:rsidRPr="00765CB8">
        <w:rPr>
          <w:rFonts w:ascii="Times New Roman" w:hAnsi="Times New Roman" w:cs="Times New Roman"/>
          <w:color w:val="000000" w:themeColor="text1"/>
        </w:rPr>
        <w:t xml:space="preserve"> As early as 1426, Scots law recognised that the law of the domicile would apply to testamentary dispositions</w:t>
      </w:r>
      <w:r w:rsidR="00D7684C" w:rsidRPr="00765CB8">
        <w:rPr>
          <w:rFonts w:ascii="Times New Roman" w:hAnsi="Times New Roman" w:cs="Times New Roman"/>
          <w:color w:val="000000" w:themeColor="text1"/>
        </w:rPr>
        <w:t xml:space="preserve"> which </w:t>
      </w:r>
      <w:r w:rsidRPr="00765CB8">
        <w:rPr>
          <w:rFonts w:ascii="Times New Roman" w:hAnsi="Times New Roman" w:cs="Times New Roman"/>
          <w:color w:val="000000" w:themeColor="text1"/>
        </w:rPr>
        <w:t xml:space="preserve">was </w:t>
      </w:r>
      <w:r w:rsidR="00CF063C" w:rsidRPr="00765CB8">
        <w:rPr>
          <w:rFonts w:ascii="Times New Roman" w:hAnsi="Times New Roman" w:cs="Times New Roman"/>
          <w:color w:val="000000" w:themeColor="text1"/>
        </w:rPr>
        <w:t xml:space="preserve">further </w:t>
      </w:r>
      <w:r w:rsidR="00E34736">
        <w:rPr>
          <w:rFonts w:ascii="Times New Roman" w:hAnsi="Times New Roman" w:cs="Times New Roman"/>
          <w:color w:val="000000" w:themeColor="text1"/>
        </w:rPr>
        <w:t xml:space="preserve">inferred to mean that </w:t>
      </w:r>
      <w:r w:rsidR="008B632F">
        <w:rPr>
          <w:rFonts w:ascii="Times New Roman" w:hAnsi="Times New Roman" w:cs="Times New Roman"/>
          <w:color w:val="000000" w:themeColor="text1"/>
        </w:rPr>
        <w:t>‘</w:t>
      </w:r>
      <w:r w:rsidRPr="00765CB8">
        <w:rPr>
          <w:rFonts w:ascii="Times New Roman" w:hAnsi="Times New Roman" w:cs="Times New Roman"/>
          <w:color w:val="000000" w:themeColor="text1"/>
        </w:rPr>
        <w:t xml:space="preserve">the effects of Scotsmen were to be governed by the law of Scotland wherever </w:t>
      </w:r>
      <w:r w:rsidR="00E34736">
        <w:rPr>
          <w:rFonts w:ascii="Times New Roman" w:hAnsi="Times New Roman" w:cs="Times New Roman"/>
          <w:color w:val="000000" w:themeColor="text1"/>
        </w:rPr>
        <w:t>such effects should be situated</w:t>
      </w:r>
      <w:r w:rsidR="008B632F">
        <w:rPr>
          <w:rFonts w:ascii="Times New Roman" w:hAnsi="Times New Roman" w:cs="Times New Roman"/>
          <w:color w:val="000000" w:themeColor="text1"/>
        </w:rPr>
        <w:t>’</w:t>
      </w:r>
      <w:r w:rsidRPr="00765CB8">
        <w:rPr>
          <w:rFonts w:ascii="Times New Roman" w:hAnsi="Times New Roman" w:cs="Times New Roman"/>
          <w:color w:val="000000" w:themeColor="text1"/>
        </w:rPr>
        <w:t>.</w:t>
      </w:r>
      <w:r w:rsidRPr="00765CB8">
        <w:rPr>
          <w:rStyle w:val="FootnoteReference"/>
          <w:rFonts w:ascii="Times New Roman" w:hAnsi="Times New Roman" w:cs="Times New Roman"/>
          <w:color w:val="000000" w:themeColor="text1"/>
        </w:rPr>
        <w:footnoteReference w:id="57"/>
      </w:r>
    </w:p>
    <w:p w14:paraId="2871AF23" w14:textId="77777777" w:rsidR="00BD19D8" w:rsidRPr="00765CB8" w:rsidRDefault="00BD19D8" w:rsidP="00765CB8">
      <w:pPr>
        <w:jc w:val="both"/>
        <w:rPr>
          <w:rFonts w:ascii="Times New Roman" w:hAnsi="Times New Roman" w:cs="Times New Roman"/>
          <w:color w:val="000000" w:themeColor="text1"/>
        </w:rPr>
      </w:pPr>
    </w:p>
    <w:p w14:paraId="2C58A7A9" w14:textId="77777777" w:rsidR="007548F7" w:rsidRDefault="00CF063C"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T</w:t>
      </w:r>
      <w:r w:rsidR="00B06FE5" w:rsidRPr="00765CB8">
        <w:rPr>
          <w:rFonts w:ascii="Times New Roman" w:hAnsi="Times New Roman" w:cs="Times New Roman"/>
          <w:color w:val="000000" w:themeColor="text1"/>
        </w:rPr>
        <w:t xml:space="preserve">he </w:t>
      </w:r>
      <w:r w:rsidR="00BF2FA5" w:rsidRPr="00765CB8">
        <w:rPr>
          <w:rFonts w:ascii="Times New Roman" w:hAnsi="Times New Roman" w:cs="Times New Roman"/>
          <w:color w:val="000000" w:themeColor="text1"/>
        </w:rPr>
        <w:t>case law in the seventeenth and eighteenth centuries</w:t>
      </w:r>
      <w:r w:rsidR="00B06FE5" w:rsidRPr="00765CB8">
        <w:rPr>
          <w:rFonts w:ascii="Times New Roman" w:hAnsi="Times New Roman" w:cs="Times New Roman"/>
          <w:color w:val="000000" w:themeColor="text1"/>
        </w:rPr>
        <w:t xml:space="preserve"> shows that the Scottish courts were willing to </w:t>
      </w:r>
      <w:r w:rsidR="00BF2FA5" w:rsidRPr="00765CB8">
        <w:rPr>
          <w:rFonts w:ascii="Times New Roman" w:hAnsi="Times New Roman" w:cs="Times New Roman"/>
          <w:color w:val="000000" w:themeColor="text1"/>
        </w:rPr>
        <w:t>hear arguments from counsel based on</w:t>
      </w:r>
      <w:r w:rsidR="00B06FE5" w:rsidRPr="00765CB8">
        <w:rPr>
          <w:rFonts w:ascii="Times New Roman" w:hAnsi="Times New Roman" w:cs="Times New Roman"/>
          <w:color w:val="000000" w:themeColor="text1"/>
        </w:rPr>
        <w:t xml:space="preserve"> continental jurists and legal </w:t>
      </w:r>
      <w:r w:rsidR="00A2686A" w:rsidRPr="00765CB8">
        <w:rPr>
          <w:rFonts w:ascii="Times New Roman" w:hAnsi="Times New Roman" w:cs="Times New Roman"/>
          <w:color w:val="000000" w:themeColor="text1"/>
        </w:rPr>
        <w:lastRenderedPageBreak/>
        <w:t>thinking</w:t>
      </w:r>
      <w:r w:rsidR="00B06FE5" w:rsidRPr="00765CB8">
        <w:rPr>
          <w:rFonts w:ascii="Times New Roman" w:hAnsi="Times New Roman" w:cs="Times New Roman"/>
          <w:color w:val="000000" w:themeColor="text1"/>
        </w:rPr>
        <w:t xml:space="preserve"> in order to find solutions to problems that were not adequately dealt with under Scots law.</w:t>
      </w:r>
      <w:r w:rsidR="00A2686A" w:rsidRPr="00765CB8">
        <w:rPr>
          <w:rStyle w:val="FootnoteReference"/>
          <w:rFonts w:ascii="Times New Roman" w:hAnsi="Times New Roman" w:cs="Times New Roman"/>
          <w:color w:val="000000" w:themeColor="text1"/>
        </w:rPr>
        <w:footnoteReference w:id="58"/>
      </w:r>
      <w:r w:rsidR="00B06FE5" w:rsidRPr="00765CB8">
        <w:rPr>
          <w:rFonts w:ascii="Times New Roman" w:hAnsi="Times New Roman" w:cs="Times New Roman"/>
          <w:color w:val="000000" w:themeColor="text1"/>
        </w:rPr>
        <w:t xml:space="preserve"> In 1744, in </w:t>
      </w:r>
      <w:r w:rsidR="00B06FE5" w:rsidRPr="00765CB8">
        <w:rPr>
          <w:rFonts w:ascii="Times New Roman" w:hAnsi="Times New Roman" w:cs="Times New Roman"/>
          <w:i/>
          <w:color w:val="000000" w:themeColor="text1"/>
        </w:rPr>
        <w:t>Brown v Brown,</w:t>
      </w:r>
      <w:r w:rsidR="00D37B42" w:rsidRPr="00765CB8">
        <w:rPr>
          <w:rStyle w:val="FootnoteReference"/>
          <w:rFonts w:ascii="Times New Roman" w:hAnsi="Times New Roman" w:cs="Times New Roman"/>
          <w:i/>
          <w:color w:val="000000" w:themeColor="text1"/>
        </w:rPr>
        <w:footnoteReference w:id="59"/>
      </w:r>
      <w:r w:rsidR="00B06FE5" w:rsidRPr="00765CB8">
        <w:rPr>
          <w:rFonts w:ascii="Times New Roman" w:hAnsi="Times New Roman" w:cs="Times New Roman"/>
          <w:color w:val="000000" w:themeColor="text1"/>
        </w:rPr>
        <w:t xml:space="preserve"> the Inner House of the Court of Session in Edinburgh </w:t>
      </w:r>
      <w:r w:rsidR="002A5249" w:rsidRPr="00765CB8">
        <w:rPr>
          <w:rFonts w:ascii="Times New Roman" w:hAnsi="Times New Roman" w:cs="Times New Roman"/>
          <w:color w:val="000000" w:themeColor="text1"/>
        </w:rPr>
        <w:t>was referred</w:t>
      </w:r>
      <w:r w:rsidR="00B06FE5" w:rsidRPr="00765CB8">
        <w:rPr>
          <w:rFonts w:ascii="Times New Roman" w:hAnsi="Times New Roman" w:cs="Times New Roman"/>
          <w:color w:val="000000" w:themeColor="text1"/>
        </w:rPr>
        <w:t xml:space="preserve"> to </w:t>
      </w:r>
      <w:proofErr w:type="spellStart"/>
      <w:r w:rsidR="00B06FE5" w:rsidRPr="00765CB8">
        <w:rPr>
          <w:rFonts w:ascii="Times New Roman" w:hAnsi="Times New Roman" w:cs="Times New Roman"/>
          <w:color w:val="000000" w:themeColor="text1"/>
        </w:rPr>
        <w:t>Voet’s</w:t>
      </w:r>
      <w:proofErr w:type="spellEnd"/>
      <w:r w:rsidR="00B06FE5" w:rsidRPr="00765CB8">
        <w:rPr>
          <w:rFonts w:ascii="Times New Roman" w:hAnsi="Times New Roman" w:cs="Times New Roman"/>
          <w:color w:val="000000" w:themeColor="text1"/>
        </w:rPr>
        <w:t xml:space="preserve"> work for inspiration, </w:t>
      </w:r>
      <w:r w:rsidRPr="00765CB8">
        <w:rPr>
          <w:rFonts w:ascii="Times New Roman" w:hAnsi="Times New Roman" w:cs="Times New Roman"/>
          <w:color w:val="000000" w:themeColor="text1"/>
        </w:rPr>
        <w:t>as</w:t>
      </w:r>
      <w:r w:rsidR="00B06FE5" w:rsidRPr="00765CB8">
        <w:rPr>
          <w:rFonts w:ascii="Times New Roman" w:hAnsi="Times New Roman" w:cs="Times New Roman"/>
          <w:color w:val="000000" w:themeColor="text1"/>
        </w:rPr>
        <w:t xml:space="preserve"> Scots law was silent on the </w:t>
      </w:r>
      <w:r w:rsidR="00D7684C" w:rsidRPr="00765CB8">
        <w:rPr>
          <w:rFonts w:ascii="Times New Roman" w:hAnsi="Times New Roman" w:cs="Times New Roman"/>
          <w:color w:val="000000" w:themeColor="text1"/>
        </w:rPr>
        <w:t xml:space="preserve">issue of </w:t>
      </w:r>
      <w:r w:rsidR="00FD04A6" w:rsidRPr="00765CB8">
        <w:rPr>
          <w:rFonts w:ascii="Times New Roman" w:hAnsi="Times New Roman" w:cs="Times New Roman"/>
          <w:color w:val="000000" w:themeColor="text1"/>
        </w:rPr>
        <w:t xml:space="preserve">whether succession in relation to </w:t>
      </w:r>
      <w:proofErr w:type="spellStart"/>
      <w:r w:rsidR="00FD04A6" w:rsidRPr="00765CB8">
        <w:rPr>
          <w:rFonts w:ascii="Times New Roman" w:hAnsi="Times New Roman" w:cs="Times New Roman"/>
          <w:color w:val="000000" w:themeColor="text1"/>
        </w:rPr>
        <w:t>moveables</w:t>
      </w:r>
      <w:proofErr w:type="spellEnd"/>
      <w:r w:rsidR="00FD04A6" w:rsidRPr="00765CB8">
        <w:rPr>
          <w:rFonts w:ascii="Times New Roman" w:hAnsi="Times New Roman" w:cs="Times New Roman"/>
          <w:color w:val="000000" w:themeColor="text1"/>
        </w:rPr>
        <w:t xml:space="preserve"> was governed by the law of the deceased’s domicile or the law of the place where the </w:t>
      </w:r>
      <w:proofErr w:type="spellStart"/>
      <w:r w:rsidR="00FD04A6" w:rsidRPr="00765CB8">
        <w:rPr>
          <w:rFonts w:ascii="Times New Roman" w:hAnsi="Times New Roman" w:cs="Times New Roman"/>
          <w:color w:val="000000" w:themeColor="text1"/>
        </w:rPr>
        <w:t>moveables</w:t>
      </w:r>
      <w:proofErr w:type="spellEnd"/>
      <w:r w:rsidR="00FD04A6" w:rsidRPr="00765CB8">
        <w:rPr>
          <w:rFonts w:ascii="Times New Roman" w:hAnsi="Times New Roman" w:cs="Times New Roman"/>
          <w:color w:val="000000" w:themeColor="text1"/>
        </w:rPr>
        <w:t xml:space="preserve"> were at the time of his death</w:t>
      </w:r>
      <w:r w:rsidR="00B06FE5" w:rsidRPr="00765CB8">
        <w:rPr>
          <w:rFonts w:ascii="Times New Roman" w:hAnsi="Times New Roman" w:cs="Times New Roman"/>
          <w:color w:val="000000" w:themeColor="text1"/>
        </w:rPr>
        <w:t xml:space="preserve">. The outcome was that the court followed the continental European applicable law rule on domicile of the deceased at the time of death, rejecting the idea that the </w:t>
      </w:r>
      <w:r w:rsidR="00B06FE5" w:rsidRPr="00765CB8">
        <w:rPr>
          <w:rFonts w:ascii="Times New Roman" w:hAnsi="Times New Roman" w:cs="Times New Roman"/>
          <w:i/>
          <w:color w:val="000000" w:themeColor="text1"/>
        </w:rPr>
        <w:t>lex situs</w:t>
      </w:r>
      <w:r w:rsidR="00B06FE5" w:rsidRPr="00765CB8">
        <w:rPr>
          <w:rFonts w:ascii="Times New Roman" w:hAnsi="Times New Roman" w:cs="Times New Roman"/>
          <w:color w:val="000000" w:themeColor="text1"/>
        </w:rPr>
        <w:t xml:space="preserve"> which applies to </w:t>
      </w:r>
      <w:proofErr w:type="spellStart"/>
      <w:r w:rsidR="00B06FE5" w:rsidRPr="00765CB8">
        <w:rPr>
          <w:rFonts w:ascii="Times New Roman" w:hAnsi="Times New Roman" w:cs="Times New Roman"/>
          <w:color w:val="000000" w:themeColor="text1"/>
        </w:rPr>
        <w:t>immov</w:t>
      </w:r>
      <w:r w:rsidR="003A78C7" w:rsidRPr="00765CB8">
        <w:rPr>
          <w:rFonts w:ascii="Times New Roman" w:hAnsi="Times New Roman" w:cs="Times New Roman"/>
          <w:color w:val="000000" w:themeColor="text1"/>
        </w:rPr>
        <w:t>e</w:t>
      </w:r>
      <w:r w:rsidR="00B06FE5" w:rsidRPr="00765CB8">
        <w:rPr>
          <w:rFonts w:ascii="Times New Roman" w:hAnsi="Times New Roman" w:cs="Times New Roman"/>
          <w:color w:val="000000" w:themeColor="text1"/>
        </w:rPr>
        <w:t>ables</w:t>
      </w:r>
      <w:proofErr w:type="spellEnd"/>
      <w:r w:rsidR="00B06FE5" w:rsidRPr="00765CB8">
        <w:rPr>
          <w:rFonts w:ascii="Times New Roman" w:hAnsi="Times New Roman" w:cs="Times New Roman"/>
          <w:color w:val="000000" w:themeColor="text1"/>
        </w:rPr>
        <w:t xml:space="preserve"> should apply to </w:t>
      </w:r>
      <w:proofErr w:type="spellStart"/>
      <w:r w:rsidR="00B06FE5" w:rsidRPr="00765CB8">
        <w:rPr>
          <w:rFonts w:ascii="Times New Roman" w:hAnsi="Times New Roman" w:cs="Times New Roman"/>
          <w:color w:val="000000" w:themeColor="text1"/>
        </w:rPr>
        <w:t>moveables</w:t>
      </w:r>
      <w:proofErr w:type="spellEnd"/>
      <w:r w:rsidR="00B06FE5" w:rsidRPr="00765CB8">
        <w:rPr>
          <w:rFonts w:ascii="Times New Roman" w:hAnsi="Times New Roman" w:cs="Times New Roman"/>
          <w:color w:val="000000" w:themeColor="text1"/>
        </w:rPr>
        <w:t xml:space="preserve"> instead of the </w:t>
      </w:r>
      <w:r w:rsidR="00B06FE5" w:rsidRPr="00765CB8">
        <w:rPr>
          <w:rFonts w:ascii="Times New Roman" w:hAnsi="Times New Roman" w:cs="Times New Roman"/>
          <w:i/>
          <w:color w:val="000000" w:themeColor="text1"/>
        </w:rPr>
        <w:t xml:space="preserve">lex </w:t>
      </w:r>
      <w:proofErr w:type="spellStart"/>
      <w:r w:rsidR="00D7684C" w:rsidRPr="00765CB8">
        <w:rPr>
          <w:rFonts w:ascii="Times New Roman" w:hAnsi="Times New Roman" w:cs="Times New Roman"/>
          <w:i/>
          <w:color w:val="000000" w:themeColor="text1"/>
        </w:rPr>
        <w:t>domicil</w:t>
      </w:r>
      <w:r w:rsidR="003A78C7" w:rsidRPr="00765CB8">
        <w:rPr>
          <w:rFonts w:ascii="Times New Roman" w:hAnsi="Times New Roman" w:cs="Times New Roman"/>
          <w:i/>
          <w:color w:val="000000" w:themeColor="text1"/>
        </w:rPr>
        <w:t>ii</w:t>
      </w:r>
      <w:proofErr w:type="spellEnd"/>
      <w:r w:rsidR="00D7684C" w:rsidRPr="00765CB8">
        <w:rPr>
          <w:rFonts w:ascii="Times New Roman" w:hAnsi="Times New Roman" w:cs="Times New Roman"/>
          <w:color w:val="000000" w:themeColor="text1"/>
        </w:rPr>
        <w:t xml:space="preserve">, </w:t>
      </w:r>
      <w:r w:rsidR="00F8266A" w:rsidRPr="00765CB8">
        <w:rPr>
          <w:rFonts w:ascii="Times New Roman" w:hAnsi="Times New Roman" w:cs="Times New Roman"/>
          <w:color w:val="000000" w:themeColor="text1"/>
        </w:rPr>
        <w:t>a decision which formed</w:t>
      </w:r>
      <w:r w:rsidR="00D7684C" w:rsidRPr="00765CB8">
        <w:rPr>
          <w:rFonts w:ascii="Times New Roman" w:hAnsi="Times New Roman" w:cs="Times New Roman"/>
          <w:color w:val="000000" w:themeColor="text1"/>
        </w:rPr>
        <w:t xml:space="preserve"> the basis of the principle of scission.</w:t>
      </w:r>
      <w:r w:rsidR="00B06FE5" w:rsidRPr="00765CB8">
        <w:rPr>
          <w:rStyle w:val="FootnoteReference"/>
          <w:rFonts w:ascii="Times New Roman" w:hAnsi="Times New Roman" w:cs="Times New Roman"/>
          <w:color w:val="000000" w:themeColor="text1"/>
        </w:rPr>
        <w:footnoteReference w:id="60"/>
      </w:r>
      <w:r w:rsidR="00B06FE5" w:rsidRPr="00765CB8">
        <w:rPr>
          <w:rFonts w:ascii="Times New Roman" w:hAnsi="Times New Roman" w:cs="Times New Roman"/>
          <w:color w:val="000000" w:themeColor="text1"/>
        </w:rPr>
        <w:t xml:space="preserve"> </w:t>
      </w:r>
    </w:p>
    <w:p w14:paraId="6024BEFB" w14:textId="77777777" w:rsidR="00BD19D8" w:rsidRPr="00765CB8" w:rsidRDefault="00BD19D8" w:rsidP="00765CB8">
      <w:pPr>
        <w:jc w:val="both"/>
        <w:rPr>
          <w:rFonts w:ascii="Times New Roman" w:hAnsi="Times New Roman" w:cs="Times New Roman"/>
          <w:color w:val="000000" w:themeColor="text1"/>
        </w:rPr>
      </w:pPr>
    </w:p>
    <w:p w14:paraId="7CBF930C" w14:textId="77777777" w:rsidR="007548F7" w:rsidRPr="00765CB8" w:rsidRDefault="00B06FE5"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The subsequent development of the applicable law rule in private international law of succession in Scotland is </w:t>
      </w:r>
      <w:r w:rsidR="00D11A50" w:rsidRPr="00765CB8">
        <w:rPr>
          <w:rFonts w:ascii="Times New Roman" w:hAnsi="Times New Roman" w:cs="Times New Roman"/>
          <w:color w:val="000000" w:themeColor="text1"/>
        </w:rPr>
        <w:t xml:space="preserve">the result of the evolving case </w:t>
      </w:r>
      <w:r w:rsidRPr="00765CB8">
        <w:rPr>
          <w:rFonts w:ascii="Times New Roman" w:hAnsi="Times New Roman" w:cs="Times New Roman"/>
          <w:color w:val="000000" w:themeColor="text1"/>
        </w:rPr>
        <w:t xml:space="preserve">law </w:t>
      </w:r>
      <w:r w:rsidR="006A7CFB" w:rsidRPr="00765CB8">
        <w:rPr>
          <w:rFonts w:ascii="Times New Roman" w:hAnsi="Times New Roman" w:cs="Times New Roman"/>
          <w:color w:val="000000" w:themeColor="text1"/>
        </w:rPr>
        <w:t>in</w:t>
      </w:r>
      <w:r w:rsidRPr="00765CB8">
        <w:rPr>
          <w:rFonts w:ascii="Times New Roman" w:hAnsi="Times New Roman" w:cs="Times New Roman"/>
          <w:color w:val="000000" w:themeColor="text1"/>
        </w:rPr>
        <w:t xml:space="preserve"> the courts of Scotland and England.</w:t>
      </w:r>
      <w:r w:rsidR="00CF063C" w:rsidRPr="00765CB8">
        <w:rPr>
          <w:rStyle w:val="FootnoteReference"/>
          <w:rFonts w:ascii="Times New Roman" w:hAnsi="Times New Roman" w:cs="Times New Roman"/>
          <w:color w:val="000000" w:themeColor="text1"/>
        </w:rPr>
        <w:footnoteReference w:id="61"/>
      </w:r>
      <w:r w:rsidRPr="00765CB8">
        <w:rPr>
          <w:rFonts w:ascii="Times New Roman" w:hAnsi="Times New Roman" w:cs="Times New Roman"/>
          <w:color w:val="000000" w:themeColor="text1"/>
        </w:rPr>
        <w:t xml:space="preserve"> The Act of Union in 1707 triggered the </w:t>
      </w:r>
      <w:r w:rsidR="000F44E3" w:rsidRPr="00765CB8">
        <w:rPr>
          <w:rFonts w:ascii="Times New Roman" w:hAnsi="Times New Roman" w:cs="Times New Roman"/>
          <w:color w:val="000000" w:themeColor="text1"/>
        </w:rPr>
        <w:t>development</w:t>
      </w:r>
      <w:r w:rsidRPr="00765CB8">
        <w:rPr>
          <w:rFonts w:ascii="Times New Roman" w:hAnsi="Times New Roman" w:cs="Times New Roman"/>
          <w:color w:val="000000" w:themeColor="text1"/>
        </w:rPr>
        <w:t xml:space="preserve"> of principled rules of private international law between Scotland and England, with the House of Lords as the final court of appeal </w:t>
      </w:r>
      <w:r w:rsidR="00075906" w:rsidRPr="00765CB8">
        <w:rPr>
          <w:rFonts w:ascii="Times New Roman" w:hAnsi="Times New Roman" w:cs="Times New Roman"/>
          <w:color w:val="000000" w:themeColor="text1"/>
        </w:rPr>
        <w:t xml:space="preserve">for both jurisdictions </w:t>
      </w:r>
      <w:r w:rsidRPr="00765CB8">
        <w:rPr>
          <w:rFonts w:ascii="Times New Roman" w:hAnsi="Times New Roman" w:cs="Times New Roman"/>
          <w:color w:val="000000" w:themeColor="text1"/>
        </w:rPr>
        <w:t>playing a significant part.</w:t>
      </w:r>
      <w:r w:rsidRPr="00765CB8">
        <w:rPr>
          <w:rStyle w:val="FootnoteReference"/>
          <w:rFonts w:ascii="Times New Roman" w:hAnsi="Times New Roman" w:cs="Times New Roman"/>
          <w:color w:val="000000" w:themeColor="text1"/>
        </w:rPr>
        <w:footnoteReference w:id="62"/>
      </w:r>
      <w:r w:rsidRPr="00765CB8">
        <w:rPr>
          <w:rFonts w:ascii="Times New Roman" w:hAnsi="Times New Roman" w:cs="Times New Roman"/>
          <w:color w:val="000000" w:themeColor="text1"/>
        </w:rPr>
        <w:t xml:space="preserve"> </w:t>
      </w:r>
      <w:r w:rsidR="0065631F" w:rsidRPr="00765CB8">
        <w:rPr>
          <w:rFonts w:ascii="Times New Roman" w:hAnsi="Times New Roman" w:cs="Times New Roman"/>
          <w:color w:val="000000" w:themeColor="text1"/>
        </w:rPr>
        <w:t xml:space="preserve">The key rule established by the decision of the Inner House of the Court of Session in </w:t>
      </w:r>
      <w:r w:rsidR="0065631F" w:rsidRPr="00765CB8">
        <w:rPr>
          <w:rFonts w:ascii="Times New Roman" w:hAnsi="Times New Roman" w:cs="Times New Roman"/>
          <w:i/>
          <w:color w:val="000000" w:themeColor="text1"/>
        </w:rPr>
        <w:t>Brown v Brown</w:t>
      </w:r>
      <w:r w:rsidR="0065631F" w:rsidRPr="00765CB8">
        <w:rPr>
          <w:rFonts w:ascii="Times New Roman" w:hAnsi="Times New Roman" w:cs="Times New Roman"/>
          <w:color w:val="000000" w:themeColor="text1"/>
        </w:rPr>
        <w:t xml:space="preserve"> was finally affirmed by the House of Lords in </w:t>
      </w:r>
      <w:r w:rsidR="0065631F" w:rsidRPr="00765CB8">
        <w:rPr>
          <w:rFonts w:ascii="Times New Roman" w:hAnsi="Times New Roman" w:cs="Times New Roman"/>
          <w:i/>
          <w:color w:val="000000" w:themeColor="text1"/>
        </w:rPr>
        <w:t>Bruce v Bruce</w:t>
      </w:r>
      <w:r w:rsidR="0065631F" w:rsidRPr="00765CB8">
        <w:rPr>
          <w:rFonts w:ascii="Times New Roman" w:hAnsi="Times New Roman" w:cs="Times New Roman"/>
          <w:color w:val="000000" w:themeColor="text1"/>
        </w:rPr>
        <w:t xml:space="preserve"> in 1790.</w:t>
      </w:r>
      <w:r w:rsidR="0065631F" w:rsidRPr="00765CB8">
        <w:rPr>
          <w:rStyle w:val="FootnoteReference"/>
          <w:rFonts w:ascii="Times New Roman" w:hAnsi="Times New Roman" w:cs="Times New Roman"/>
          <w:color w:val="000000" w:themeColor="text1"/>
        </w:rPr>
        <w:footnoteReference w:id="63"/>
      </w:r>
      <w:r w:rsidR="00303B2D" w:rsidRPr="00765CB8">
        <w:rPr>
          <w:rFonts w:ascii="Times New Roman" w:eastAsia="Times New Roman" w:hAnsi="Times New Roman" w:cs="Times New Roman"/>
          <w:color w:val="000000" w:themeColor="text1"/>
        </w:rPr>
        <w:t xml:space="preserve"> </w:t>
      </w:r>
      <w:r w:rsidR="00303B2D" w:rsidRPr="00765CB8">
        <w:rPr>
          <w:rFonts w:ascii="Times New Roman" w:hAnsi="Times New Roman" w:cs="Times New Roman"/>
          <w:color w:val="000000" w:themeColor="text1"/>
        </w:rPr>
        <w:t>The case concerned a Scotsman who died in India, whilst working for the English East Indian Company, leaving property in England, India and on the sea. It was determined in the Court of Session that the deceased had an English domicile at the time of his death and therefore the succession to his moveable property was governed by the law of England. As a result of this, a half-blood relative was allowed to inherit, which would not have been the case under Scots law. The whole-blood relations appealed the Court of Session’s decision to the House of Lords, who quashed the appeal.</w:t>
      </w:r>
      <w:r w:rsidR="00E71CA5" w:rsidRPr="00765CB8">
        <w:rPr>
          <w:rFonts w:ascii="Times New Roman" w:hAnsi="Times New Roman" w:cs="Times New Roman"/>
          <w:color w:val="000000" w:themeColor="text1"/>
        </w:rPr>
        <w:t xml:space="preserve"> The authority of this </w:t>
      </w:r>
      <w:r w:rsidR="00E71CA5" w:rsidRPr="00765CB8">
        <w:rPr>
          <w:rFonts w:ascii="Times New Roman" w:hAnsi="Times New Roman" w:cs="Times New Roman"/>
          <w:color w:val="000000" w:themeColor="text1"/>
        </w:rPr>
        <w:lastRenderedPageBreak/>
        <w:t>Scottish decision of the House of Lords was subsequently clearly accepted as the law of England and Wales.</w:t>
      </w:r>
      <w:r w:rsidR="00E71CA5" w:rsidRPr="00765CB8">
        <w:rPr>
          <w:rStyle w:val="FootnoteReference"/>
          <w:rFonts w:ascii="Times New Roman" w:hAnsi="Times New Roman" w:cs="Times New Roman"/>
          <w:color w:val="000000" w:themeColor="text1"/>
        </w:rPr>
        <w:footnoteReference w:id="64"/>
      </w:r>
    </w:p>
    <w:p w14:paraId="5C793AD4" w14:textId="77777777" w:rsidR="00D7684C" w:rsidRPr="00765CB8" w:rsidRDefault="00D7684C"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However</w:t>
      </w:r>
      <w:r w:rsidR="00B740DC" w:rsidRPr="00765CB8">
        <w:rPr>
          <w:rFonts w:ascii="Times New Roman" w:hAnsi="Times New Roman" w:cs="Times New Roman"/>
          <w:color w:val="000000" w:themeColor="text1"/>
        </w:rPr>
        <w:t>,</w:t>
      </w:r>
      <w:r w:rsidRPr="00765CB8">
        <w:rPr>
          <w:rFonts w:ascii="Times New Roman" w:hAnsi="Times New Roman" w:cs="Times New Roman"/>
          <w:color w:val="000000" w:themeColor="text1"/>
        </w:rPr>
        <w:t xml:space="preserve"> as the concept of domicile developed within the law of the UK, continental Europe took a different path and </w:t>
      </w:r>
      <w:r w:rsidR="00A06357" w:rsidRPr="00765CB8">
        <w:rPr>
          <w:rFonts w:ascii="Times New Roman" w:hAnsi="Times New Roman" w:cs="Times New Roman"/>
          <w:color w:val="000000" w:themeColor="text1"/>
        </w:rPr>
        <w:t>since the nineteenth century</w:t>
      </w:r>
      <w:r w:rsidRPr="00765CB8">
        <w:rPr>
          <w:rFonts w:ascii="Times New Roman" w:hAnsi="Times New Roman" w:cs="Times New Roman"/>
          <w:color w:val="000000" w:themeColor="text1"/>
        </w:rPr>
        <w:t xml:space="preserve"> replaced the concept of domicile with the concepts of nationality</w:t>
      </w:r>
      <w:r w:rsidR="001A54B5" w:rsidRPr="00765CB8">
        <w:rPr>
          <w:rStyle w:val="FootnoteReference"/>
          <w:rFonts w:ascii="Times New Roman" w:hAnsi="Times New Roman" w:cs="Times New Roman"/>
          <w:color w:val="000000" w:themeColor="text1"/>
        </w:rPr>
        <w:footnoteReference w:id="65"/>
      </w:r>
      <w:r w:rsidRPr="00765CB8">
        <w:rPr>
          <w:rFonts w:ascii="Times New Roman" w:hAnsi="Times New Roman" w:cs="Times New Roman"/>
          <w:color w:val="000000" w:themeColor="text1"/>
        </w:rPr>
        <w:t xml:space="preserve"> and</w:t>
      </w:r>
      <w:r w:rsidR="00A06357" w:rsidRPr="00765CB8">
        <w:rPr>
          <w:rFonts w:ascii="Times New Roman" w:hAnsi="Times New Roman" w:cs="Times New Roman"/>
          <w:color w:val="000000" w:themeColor="text1"/>
        </w:rPr>
        <w:t>,</w:t>
      </w:r>
      <w:r w:rsidRPr="00765CB8">
        <w:rPr>
          <w:rFonts w:ascii="Times New Roman" w:hAnsi="Times New Roman" w:cs="Times New Roman"/>
          <w:color w:val="000000" w:themeColor="text1"/>
        </w:rPr>
        <w:t xml:space="preserve"> more r</w:t>
      </w:r>
      <w:r w:rsidR="00F8266A" w:rsidRPr="00765CB8">
        <w:rPr>
          <w:rFonts w:ascii="Times New Roman" w:hAnsi="Times New Roman" w:cs="Times New Roman"/>
          <w:color w:val="000000" w:themeColor="text1"/>
        </w:rPr>
        <w:t>ecently</w:t>
      </w:r>
      <w:r w:rsidR="00A06357" w:rsidRPr="00765CB8">
        <w:rPr>
          <w:rFonts w:ascii="Times New Roman" w:hAnsi="Times New Roman" w:cs="Times New Roman"/>
          <w:color w:val="000000" w:themeColor="text1"/>
        </w:rPr>
        <w:t>,</w:t>
      </w:r>
      <w:r w:rsidR="00F8266A" w:rsidRPr="00765CB8">
        <w:rPr>
          <w:rFonts w:ascii="Times New Roman" w:hAnsi="Times New Roman" w:cs="Times New Roman"/>
          <w:color w:val="000000" w:themeColor="text1"/>
        </w:rPr>
        <w:t xml:space="preserve"> habitual residence. </w:t>
      </w:r>
    </w:p>
    <w:p w14:paraId="31D2C071" w14:textId="77777777" w:rsidR="00107764" w:rsidRPr="00765CB8" w:rsidRDefault="00107764" w:rsidP="00765CB8">
      <w:pPr>
        <w:jc w:val="both"/>
        <w:rPr>
          <w:rFonts w:ascii="Times New Roman" w:hAnsi="Times New Roman" w:cs="Times New Roman"/>
          <w:color w:val="000000" w:themeColor="text1"/>
        </w:rPr>
      </w:pPr>
      <w:bookmarkStart w:id="1" w:name="_Toc299883017"/>
    </w:p>
    <w:p w14:paraId="546E2114" w14:textId="31A2D16B" w:rsidR="00075906" w:rsidRDefault="008A6670" w:rsidP="00765CB8">
      <w:pPr>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00EE470B" w:rsidRPr="00765CB8">
        <w:rPr>
          <w:rFonts w:ascii="Times New Roman" w:hAnsi="Times New Roman" w:cs="Times New Roman"/>
          <w:color w:val="000000" w:themeColor="text1"/>
        </w:rPr>
        <w:t xml:space="preserve">Contemporary </w:t>
      </w:r>
      <w:r w:rsidRPr="00765CB8">
        <w:rPr>
          <w:rFonts w:ascii="Times New Roman" w:hAnsi="Times New Roman" w:cs="Times New Roman"/>
          <w:color w:val="000000" w:themeColor="text1"/>
        </w:rPr>
        <w:t>private international law of succession in Scotland</w:t>
      </w:r>
    </w:p>
    <w:p w14:paraId="4E48C54B" w14:textId="77777777" w:rsidR="00D466A1" w:rsidRPr="00765CB8" w:rsidRDefault="00D466A1" w:rsidP="00765CB8">
      <w:pPr>
        <w:jc w:val="both"/>
        <w:rPr>
          <w:rFonts w:ascii="Times New Roman" w:hAnsi="Times New Roman" w:cs="Times New Roman"/>
          <w:color w:val="000000" w:themeColor="text1"/>
        </w:rPr>
      </w:pPr>
    </w:p>
    <w:p w14:paraId="1FF7F221" w14:textId="77777777" w:rsidR="00075906" w:rsidRPr="008A6670" w:rsidRDefault="008A6670" w:rsidP="008A6670">
      <w:pPr>
        <w:pStyle w:val="ListParagraph"/>
        <w:ind w:left="0"/>
        <w:jc w:val="both"/>
        <w:rPr>
          <w:rFonts w:ascii="Times New Roman" w:hAnsi="Times New Roman" w:cs="Times New Roman"/>
          <w:i/>
          <w:color w:val="000000" w:themeColor="text1"/>
        </w:rPr>
      </w:pPr>
      <w:r w:rsidRPr="008A6670">
        <w:rPr>
          <w:rFonts w:ascii="Times New Roman" w:hAnsi="Times New Roman" w:cs="Times New Roman"/>
          <w:i/>
          <w:color w:val="000000" w:themeColor="text1"/>
        </w:rPr>
        <w:t xml:space="preserve">i. </w:t>
      </w:r>
      <w:r w:rsidR="00075906" w:rsidRPr="008A6670">
        <w:rPr>
          <w:rFonts w:ascii="Times New Roman" w:hAnsi="Times New Roman" w:cs="Times New Roman"/>
          <w:i/>
          <w:color w:val="000000" w:themeColor="text1"/>
        </w:rPr>
        <w:t xml:space="preserve">Administration of </w:t>
      </w:r>
      <w:r>
        <w:rPr>
          <w:rFonts w:ascii="Times New Roman" w:hAnsi="Times New Roman" w:cs="Times New Roman"/>
          <w:i/>
          <w:color w:val="000000" w:themeColor="text1"/>
        </w:rPr>
        <w:t>e</w:t>
      </w:r>
      <w:r w:rsidR="00075906" w:rsidRPr="008A6670">
        <w:rPr>
          <w:rFonts w:ascii="Times New Roman" w:hAnsi="Times New Roman" w:cs="Times New Roman"/>
          <w:i/>
          <w:color w:val="000000" w:themeColor="text1"/>
        </w:rPr>
        <w:t>states</w:t>
      </w:r>
    </w:p>
    <w:p w14:paraId="0610AB1E" w14:textId="77777777" w:rsidR="00075906" w:rsidRPr="00765CB8" w:rsidRDefault="00075906" w:rsidP="00765CB8">
      <w:pPr>
        <w:jc w:val="both"/>
        <w:rPr>
          <w:rFonts w:ascii="Times New Roman" w:hAnsi="Times New Roman" w:cs="Times New Roman"/>
          <w:color w:val="000000" w:themeColor="text1"/>
        </w:rPr>
      </w:pPr>
    </w:p>
    <w:p w14:paraId="48814A2E" w14:textId="77777777" w:rsidR="00075906" w:rsidRDefault="00075906"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In Scotland, heirs do not inherit directly on the death of the deceased. If the law applicable to the estate is Scots law then the estate will need to be administered under Scots law whether in Scotland or in another EU Member State.</w:t>
      </w:r>
      <w:r w:rsidRPr="00765CB8">
        <w:rPr>
          <w:rStyle w:val="FootnoteReference"/>
          <w:rFonts w:ascii="Times New Roman" w:hAnsi="Times New Roman" w:cs="Times New Roman"/>
          <w:color w:val="000000" w:themeColor="text1"/>
        </w:rPr>
        <w:footnoteReference w:id="66"/>
      </w:r>
    </w:p>
    <w:p w14:paraId="2307ADF7" w14:textId="77777777" w:rsidR="00BD19D8" w:rsidRPr="00765CB8" w:rsidRDefault="00BD19D8" w:rsidP="00765CB8">
      <w:pPr>
        <w:jc w:val="both"/>
        <w:rPr>
          <w:rFonts w:ascii="Times New Roman" w:hAnsi="Times New Roman" w:cs="Times New Roman"/>
          <w:color w:val="000000" w:themeColor="text1"/>
        </w:rPr>
      </w:pPr>
    </w:p>
    <w:p w14:paraId="78A99BBE" w14:textId="77777777" w:rsidR="00075906" w:rsidRDefault="00075906"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The administration of the estate in contrast to some civil law systems is not the duty of the heir.</w:t>
      </w:r>
      <w:r w:rsidRPr="00765CB8">
        <w:rPr>
          <w:rStyle w:val="FootnoteReference"/>
          <w:rFonts w:ascii="Times New Roman" w:hAnsi="Times New Roman" w:cs="Times New Roman"/>
          <w:color w:val="000000" w:themeColor="text1"/>
        </w:rPr>
        <w:footnoteReference w:id="67"/>
      </w:r>
      <w:r w:rsidRPr="00765CB8">
        <w:rPr>
          <w:rFonts w:ascii="Times New Roman" w:hAnsi="Times New Roman" w:cs="Times New Roman"/>
          <w:color w:val="000000" w:themeColor="text1"/>
        </w:rPr>
        <w:t xml:space="preserve"> The administration is carried out by a personal representative of the deceased, either an executor or an administrator,</w:t>
      </w:r>
      <w:r w:rsidRPr="00765CB8">
        <w:rPr>
          <w:rStyle w:val="FootnoteReference"/>
          <w:rFonts w:ascii="Times New Roman" w:hAnsi="Times New Roman" w:cs="Times New Roman"/>
          <w:color w:val="000000" w:themeColor="text1"/>
        </w:rPr>
        <w:footnoteReference w:id="68"/>
      </w:r>
      <w:r w:rsidRPr="00765CB8">
        <w:rPr>
          <w:rFonts w:ascii="Times New Roman" w:hAnsi="Times New Roman" w:cs="Times New Roman"/>
          <w:color w:val="000000" w:themeColor="text1"/>
        </w:rPr>
        <w:t xml:space="preserve"> who gains authority to deal with the estate by obtaining a grant of representation from the court.</w:t>
      </w:r>
      <w:r w:rsidRPr="00765CB8">
        <w:rPr>
          <w:rStyle w:val="FootnoteReference"/>
          <w:rFonts w:ascii="Times New Roman" w:hAnsi="Times New Roman" w:cs="Times New Roman"/>
          <w:color w:val="000000" w:themeColor="text1"/>
        </w:rPr>
        <w:footnoteReference w:id="69"/>
      </w:r>
      <w:r w:rsidRPr="00765CB8">
        <w:rPr>
          <w:rFonts w:ascii="Times New Roman" w:hAnsi="Times New Roman" w:cs="Times New Roman"/>
          <w:color w:val="000000" w:themeColor="text1"/>
        </w:rPr>
        <w:t xml:space="preserve"> This procedure for administering property after the death of its owner is fundamentally different from the civil law approach where it is common for the property of the deceased to pass directly to the heirs on death.</w:t>
      </w:r>
      <w:r w:rsidRPr="00765CB8">
        <w:rPr>
          <w:rStyle w:val="FootnoteReference"/>
          <w:rFonts w:ascii="Times New Roman" w:hAnsi="Times New Roman" w:cs="Times New Roman"/>
          <w:color w:val="000000" w:themeColor="text1"/>
        </w:rPr>
        <w:footnoteReference w:id="70"/>
      </w:r>
    </w:p>
    <w:p w14:paraId="1DC8BF03" w14:textId="77777777" w:rsidR="00BD19D8" w:rsidRPr="00765CB8" w:rsidRDefault="00BD19D8" w:rsidP="00765CB8">
      <w:pPr>
        <w:jc w:val="both"/>
        <w:rPr>
          <w:rFonts w:ascii="Times New Roman" w:hAnsi="Times New Roman" w:cs="Times New Roman"/>
          <w:color w:val="000000" w:themeColor="text1"/>
        </w:rPr>
      </w:pPr>
    </w:p>
    <w:p w14:paraId="39549AA6" w14:textId="77777777" w:rsidR="00075906" w:rsidRDefault="00075906"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For the purposes of confirmation the local sheriff responsible for the area where the deceased was domiciled at death has jurisdiction.</w:t>
      </w:r>
      <w:r w:rsidRPr="00765CB8">
        <w:rPr>
          <w:rStyle w:val="FootnoteReference"/>
          <w:rFonts w:ascii="Times New Roman" w:hAnsi="Times New Roman" w:cs="Times New Roman"/>
          <w:color w:val="000000" w:themeColor="text1"/>
        </w:rPr>
        <w:footnoteReference w:id="71"/>
      </w:r>
      <w:r w:rsidRPr="00765CB8">
        <w:rPr>
          <w:rFonts w:ascii="Times New Roman" w:hAnsi="Times New Roman" w:cs="Times New Roman"/>
          <w:color w:val="000000" w:themeColor="text1"/>
        </w:rPr>
        <w:t xml:space="preserve"> If there is heritable property in Scotland but the deceased was domiciled outside of the UK then Edinburgh has jurisdiction.</w:t>
      </w:r>
      <w:r w:rsidRPr="00765CB8">
        <w:rPr>
          <w:rStyle w:val="FootnoteReference"/>
          <w:rFonts w:ascii="Times New Roman" w:hAnsi="Times New Roman" w:cs="Times New Roman"/>
          <w:color w:val="000000" w:themeColor="text1"/>
        </w:rPr>
        <w:footnoteReference w:id="72"/>
      </w:r>
      <w:r w:rsidRPr="00765CB8">
        <w:rPr>
          <w:rFonts w:ascii="Times New Roman" w:hAnsi="Times New Roman" w:cs="Times New Roman"/>
          <w:color w:val="000000" w:themeColor="text1"/>
        </w:rPr>
        <w:t xml:space="preserve"> </w:t>
      </w:r>
    </w:p>
    <w:p w14:paraId="7DBDB3DC" w14:textId="77777777" w:rsidR="00BD19D8" w:rsidRPr="00765CB8" w:rsidRDefault="00BD19D8" w:rsidP="00765CB8">
      <w:pPr>
        <w:jc w:val="both"/>
        <w:rPr>
          <w:rFonts w:ascii="Times New Roman" w:hAnsi="Times New Roman" w:cs="Times New Roman"/>
          <w:color w:val="000000" w:themeColor="text1"/>
        </w:rPr>
      </w:pPr>
    </w:p>
    <w:p w14:paraId="71A9EBCA" w14:textId="77777777" w:rsidR="00075906" w:rsidRDefault="00075906"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The estate is dealt with in two stages. The first stage involves the administration of the estate followed by succession. Only once the administration of the estate has taken place, which involves the ingathering of the estate and the payment of debts and tax, can the estate be shared amongst the beneficiaries.</w:t>
      </w:r>
      <w:r w:rsidRPr="00765CB8">
        <w:rPr>
          <w:rStyle w:val="FootnoteReference"/>
          <w:rFonts w:ascii="Times New Roman" w:hAnsi="Times New Roman" w:cs="Times New Roman"/>
          <w:color w:val="000000" w:themeColor="text1"/>
        </w:rPr>
        <w:footnoteReference w:id="73"/>
      </w:r>
      <w:r w:rsidRPr="00765CB8">
        <w:rPr>
          <w:rFonts w:ascii="Times New Roman" w:hAnsi="Times New Roman" w:cs="Times New Roman"/>
          <w:color w:val="000000" w:themeColor="text1"/>
        </w:rPr>
        <w:t xml:space="preserve"> In the UK, the administration of estates is governed by the </w:t>
      </w:r>
      <w:r w:rsidRPr="00765CB8">
        <w:rPr>
          <w:rFonts w:ascii="Times New Roman" w:hAnsi="Times New Roman" w:cs="Times New Roman"/>
          <w:i/>
          <w:color w:val="000000" w:themeColor="text1"/>
        </w:rPr>
        <w:t xml:space="preserve">lex </w:t>
      </w:r>
      <w:proofErr w:type="spellStart"/>
      <w:r w:rsidRPr="00765CB8">
        <w:rPr>
          <w:rFonts w:ascii="Times New Roman" w:hAnsi="Times New Roman" w:cs="Times New Roman"/>
          <w:i/>
          <w:color w:val="000000" w:themeColor="text1"/>
        </w:rPr>
        <w:t>fori</w:t>
      </w:r>
      <w:proofErr w:type="spellEnd"/>
      <w:r w:rsidRPr="00765CB8">
        <w:rPr>
          <w:rFonts w:ascii="Times New Roman" w:hAnsi="Times New Roman" w:cs="Times New Roman"/>
          <w:color w:val="000000" w:themeColor="text1"/>
        </w:rPr>
        <w:t>.</w:t>
      </w:r>
      <w:r w:rsidRPr="00765CB8">
        <w:rPr>
          <w:rStyle w:val="FootnoteReference"/>
          <w:rFonts w:ascii="Times New Roman" w:hAnsi="Times New Roman" w:cs="Times New Roman"/>
          <w:color w:val="000000" w:themeColor="text1"/>
        </w:rPr>
        <w:footnoteReference w:id="74"/>
      </w:r>
    </w:p>
    <w:p w14:paraId="1EC7A1BD" w14:textId="77777777" w:rsidR="00BD19D8" w:rsidRPr="00765CB8" w:rsidRDefault="00BD19D8" w:rsidP="00765CB8">
      <w:pPr>
        <w:jc w:val="both"/>
        <w:rPr>
          <w:rFonts w:ascii="Times New Roman" w:hAnsi="Times New Roman" w:cs="Times New Roman"/>
          <w:color w:val="000000" w:themeColor="text1"/>
        </w:rPr>
      </w:pPr>
    </w:p>
    <w:p w14:paraId="6B94A527" w14:textId="77777777" w:rsidR="00075906" w:rsidRDefault="00075906"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Scots law therefore governs the priority of the debts and their extinction through lapse of time.</w:t>
      </w:r>
      <w:r w:rsidRPr="00765CB8">
        <w:rPr>
          <w:rStyle w:val="FootnoteReference"/>
          <w:rFonts w:ascii="Times New Roman" w:hAnsi="Times New Roman" w:cs="Times New Roman"/>
          <w:color w:val="000000" w:themeColor="text1"/>
        </w:rPr>
        <w:footnoteReference w:id="75"/>
      </w:r>
      <w:r w:rsidRPr="00765CB8">
        <w:rPr>
          <w:rFonts w:ascii="Times New Roman" w:hAnsi="Times New Roman" w:cs="Times New Roman"/>
          <w:color w:val="000000" w:themeColor="text1"/>
        </w:rPr>
        <w:t xml:space="preserve"> It is also irrelevant whether the creditor is Scottish or foreign.</w:t>
      </w:r>
      <w:r w:rsidRPr="00765CB8">
        <w:rPr>
          <w:rStyle w:val="FootnoteReference"/>
          <w:rFonts w:ascii="Times New Roman" w:hAnsi="Times New Roman" w:cs="Times New Roman"/>
          <w:color w:val="000000" w:themeColor="text1"/>
        </w:rPr>
        <w:footnoteReference w:id="76"/>
      </w:r>
      <w:r w:rsidRPr="00765CB8">
        <w:rPr>
          <w:rFonts w:ascii="Times New Roman" w:hAnsi="Times New Roman" w:cs="Times New Roman"/>
          <w:color w:val="000000" w:themeColor="text1"/>
        </w:rPr>
        <w:t xml:space="preserve"> It is possible </w:t>
      </w:r>
      <w:r w:rsidRPr="00765CB8">
        <w:rPr>
          <w:rFonts w:ascii="Times New Roman" w:hAnsi="Times New Roman" w:cs="Times New Roman"/>
          <w:color w:val="000000" w:themeColor="text1"/>
        </w:rPr>
        <w:lastRenderedPageBreak/>
        <w:t xml:space="preserve">for a personal representative to deal solely with the assets within Scotland for a deceased who died domiciled outside of Scotland. In this case the executor will still apply the </w:t>
      </w:r>
      <w:r w:rsidRPr="00765CB8">
        <w:rPr>
          <w:rFonts w:ascii="Times New Roman" w:hAnsi="Times New Roman" w:cs="Times New Roman"/>
          <w:i/>
          <w:color w:val="000000" w:themeColor="text1"/>
        </w:rPr>
        <w:t xml:space="preserve">lex </w:t>
      </w:r>
      <w:proofErr w:type="spellStart"/>
      <w:r w:rsidRPr="00765CB8">
        <w:rPr>
          <w:rFonts w:ascii="Times New Roman" w:hAnsi="Times New Roman" w:cs="Times New Roman"/>
          <w:i/>
          <w:color w:val="000000" w:themeColor="text1"/>
        </w:rPr>
        <w:t>fori</w:t>
      </w:r>
      <w:proofErr w:type="spellEnd"/>
      <w:r w:rsidRPr="00765CB8">
        <w:rPr>
          <w:rFonts w:ascii="Times New Roman" w:hAnsi="Times New Roman" w:cs="Times New Roman"/>
          <w:color w:val="000000" w:themeColor="text1"/>
        </w:rPr>
        <w:t xml:space="preserve"> and have a duty to pay the creditors following the order prescribed by Scots law.</w:t>
      </w:r>
      <w:r w:rsidRPr="00765CB8">
        <w:rPr>
          <w:rStyle w:val="FootnoteReference"/>
          <w:rFonts w:ascii="Times New Roman" w:hAnsi="Times New Roman" w:cs="Times New Roman"/>
          <w:color w:val="000000" w:themeColor="text1"/>
        </w:rPr>
        <w:footnoteReference w:id="77"/>
      </w:r>
      <w:r w:rsidRPr="00765CB8">
        <w:rPr>
          <w:rFonts w:ascii="Times New Roman" w:hAnsi="Times New Roman" w:cs="Times New Roman"/>
          <w:color w:val="000000" w:themeColor="text1"/>
        </w:rPr>
        <w:t xml:space="preserve"> The personal representative will not release the assets to a foreign executor during the first six months after the death of the deceased as during this time he risks personal liability for debts intimated to him during this time.</w:t>
      </w:r>
      <w:r w:rsidRPr="00765CB8">
        <w:rPr>
          <w:rStyle w:val="FootnoteReference"/>
          <w:rFonts w:ascii="Times New Roman" w:hAnsi="Times New Roman" w:cs="Times New Roman"/>
          <w:color w:val="000000" w:themeColor="text1"/>
        </w:rPr>
        <w:footnoteReference w:id="78"/>
      </w:r>
      <w:r w:rsidRPr="00765CB8">
        <w:rPr>
          <w:rFonts w:ascii="Times New Roman" w:hAnsi="Times New Roman" w:cs="Times New Roman"/>
          <w:color w:val="000000" w:themeColor="text1"/>
        </w:rPr>
        <w:t xml:space="preserve"> </w:t>
      </w:r>
    </w:p>
    <w:p w14:paraId="4090ACAC" w14:textId="77777777" w:rsidR="00BD19D8" w:rsidRPr="00765CB8" w:rsidRDefault="00BD19D8" w:rsidP="00765CB8">
      <w:pPr>
        <w:jc w:val="both"/>
        <w:rPr>
          <w:rFonts w:ascii="Times New Roman" w:hAnsi="Times New Roman" w:cs="Times New Roman"/>
          <w:color w:val="000000" w:themeColor="text1"/>
        </w:rPr>
      </w:pPr>
    </w:p>
    <w:p w14:paraId="093D24B8" w14:textId="5AFF314C" w:rsidR="00075906" w:rsidRPr="00765CB8" w:rsidRDefault="00075906"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The duty to pay a maintenance debt, where a depend</w:t>
      </w:r>
      <w:r w:rsidR="00A36B8C">
        <w:rPr>
          <w:rFonts w:ascii="Times New Roman" w:hAnsi="Times New Roman" w:cs="Times New Roman"/>
          <w:color w:val="000000" w:themeColor="text1"/>
        </w:rPr>
        <w:t>a</w:t>
      </w:r>
      <w:r w:rsidRPr="00765CB8">
        <w:rPr>
          <w:rFonts w:ascii="Times New Roman" w:hAnsi="Times New Roman" w:cs="Times New Roman"/>
          <w:color w:val="000000" w:themeColor="text1"/>
        </w:rPr>
        <w:t>nt is owed maintenance by the deceased is dealt with under the administration of estates and not under succession law.</w:t>
      </w:r>
      <w:r w:rsidRPr="00765CB8">
        <w:rPr>
          <w:rStyle w:val="FootnoteReference"/>
          <w:rFonts w:ascii="Times New Roman" w:hAnsi="Times New Roman" w:cs="Times New Roman"/>
          <w:color w:val="000000" w:themeColor="text1"/>
        </w:rPr>
        <w:footnoteReference w:id="79"/>
      </w:r>
      <w:r w:rsidRPr="00765CB8">
        <w:rPr>
          <w:rFonts w:ascii="Times New Roman" w:hAnsi="Times New Roman" w:cs="Times New Roman"/>
          <w:color w:val="000000" w:themeColor="text1"/>
        </w:rPr>
        <w:t xml:space="preserve"> As long as the personal representative is made aware of the debt within the first six months of the death of the deceased then the debt must be treated as any other and paid according to the priority set out in law. </w:t>
      </w:r>
    </w:p>
    <w:p w14:paraId="09B65F58" w14:textId="77777777" w:rsidR="00EE470B" w:rsidRPr="00765CB8" w:rsidRDefault="00EE470B" w:rsidP="00765CB8">
      <w:pPr>
        <w:jc w:val="both"/>
        <w:rPr>
          <w:rFonts w:ascii="Times New Roman" w:hAnsi="Times New Roman" w:cs="Times New Roman"/>
          <w:color w:val="000000" w:themeColor="text1"/>
        </w:rPr>
      </w:pPr>
    </w:p>
    <w:p w14:paraId="347464CC" w14:textId="77777777" w:rsidR="007548F7" w:rsidRDefault="008A6670" w:rsidP="008A6670">
      <w:pPr>
        <w:pStyle w:val="ListParagraph"/>
        <w:ind w:left="0"/>
        <w:jc w:val="both"/>
        <w:rPr>
          <w:rFonts w:ascii="Times New Roman" w:hAnsi="Times New Roman" w:cs="Times New Roman"/>
          <w:i/>
          <w:color w:val="000000" w:themeColor="text1"/>
        </w:rPr>
      </w:pPr>
      <w:r w:rsidRPr="008A6670">
        <w:rPr>
          <w:rFonts w:ascii="Times New Roman" w:hAnsi="Times New Roman" w:cs="Times New Roman"/>
          <w:i/>
          <w:color w:val="000000" w:themeColor="text1"/>
        </w:rPr>
        <w:t xml:space="preserve">ii. </w:t>
      </w:r>
      <w:r w:rsidR="00CF1155" w:rsidRPr="008A6670">
        <w:rPr>
          <w:rFonts w:ascii="Times New Roman" w:hAnsi="Times New Roman" w:cs="Times New Roman"/>
          <w:i/>
          <w:color w:val="000000" w:themeColor="text1"/>
        </w:rPr>
        <w:t>Jurisdiction</w:t>
      </w:r>
      <w:bookmarkEnd w:id="1"/>
      <w:r w:rsidR="00075906" w:rsidRPr="008A6670">
        <w:rPr>
          <w:rFonts w:ascii="Times New Roman" w:hAnsi="Times New Roman" w:cs="Times New Roman"/>
          <w:i/>
          <w:color w:val="000000" w:themeColor="text1"/>
        </w:rPr>
        <w:t xml:space="preserve"> in </w:t>
      </w:r>
      <w:r w:rsidRPr="008A6670">
        <w:rPr>
          <w:rFonts w:ascii="Times New Roman" w:hAnsi="Times New Roman" w:cs="Times New Roman"/>
          <w:i/>
          <w:color w:val="000000" w:themeColor="text1"/>
        </w:rPr>
        <w:t>succession</w:t>
      </w:r>
    </w:p>
    <w:p w14:paraId="50976B8D" w14:textId="77777777" w:rsidR="003E7292" w:rsidRPr="008A6670" w:rsidRDefault="003E7292" w:rsidP="008A6670">
      <w:pPr>
        <w:pStyle w:val="ListParagraph"/>
        <w:ind w:left="0"/>
        <w:jc w:val="both"/>
        <w:rPr>
          <w:rFonts w:ascii="Times New Roman" w:hAnsi="Times New Roman" w:cs="Times New Roman"/>
          <w:i/>
          <w:color w:val="000000" w:themeColor="text1"/>
        </w:rPr>
      </w:pPr>
    </w:p>
    <w:p w14:paraId="704BB7EE" w14:textId="29E57F04" w:rsidR="007548F7" w:rsidRDefault="00DB50B6"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Jurisdiction and the recognition and enforcement of judgments in mat</w:t>
      </w:r>
      <w:r w:rsidR="00E34736">
        <w:rPr>
          <w:rFonts w:ascii="Times New Roman" w:hAnsi="Times New Roman" w:cs="Times New Roman"/>
          <w:color w:val="000000" w:themeColor="text1"/>
        </w:rPr>
        <w:t xml:space="preserve">ters concerning </w:t>
      </w:r>
      <w:r w:rsidR="008B632F">
        <w:rPr>
          <w:rFonts w:ascii="Times New Roman" w:hAnsi="Times New Roman" w:cs="Times New Roman"/>
          <w:color w:val="000000" w:themeColor="text1"/>
        </w:rPr>
        <w:t>‘</w:t>
      </w:r>
      <w:r w:rsidRPr="00765CB8">
        <w:rPr>
          <w:rFonts w:ascii="Times New Roman" w:hAnsi="Times New Roman" w:cs="Times New Roman"/>
          <w:color w:val="000000" w:themeColor="text1"/>
        </w:rPr>
        <w:t>wills and succession, including maintenance obligat</w:t>
      </w:r>
      <w:r w:rsidR="00E34736">
        <w:rPr>
          <w:rFonts w:ascii="Times New Roman" w:hAnsi="Times New Roman" w:cs="Times New Roman"/>
          <w:color w:val="000000" w:themeColor="text1"/>
        </w:rPr>
        <w:t>ions arising by reason of death</w:t>
      </w:r>
      <w:r w:rsidR="008B632F">
        <w:rPr>
          <w:rFonts w:ascii="Times New Roman" w:hAnsi="Times New Roman" w:cs="Times New Roman"/>
          <w:color w:val="000000" w:themeColor="text1"/>
        </w:rPr>
        <w:t>’</w:t>
      </w:r>
      <w:r w:rsidRPr="00765CB8">
        <w:rPr>
          <w:rFonts w:ascii="Times New Roman" w:hAnsi="Times New Roman" w:cs="Times New Roman"/>
          <w:color w:val="000000" w:themeColor="text1"/>
        </w:rPr>
        <w:t xml:space="preserve"> are excluded from the scope of </w:t>
      </w:r>
      <w:r w:rsidR="00A06357" w:rsidRPr="00765CB8">
        <w:rPr>
          <w:rFonts w:ascii="Times New Roman" w:hAnsi="Times New Roman" w:cs="Times New Roman"/>
          <w:color w:val="000000" w:themeColor="text1"/>
        </w:rPr>
        <w:t xml:space="preserve">the </w:t>
      </w:r>
      <w:r w:rsidRPr="00765CB8">
        <w:rPr>
          <w:rFonts w:ascii="Times New Roman" w:hAnsi="Times New Roman" w:cs="Times New Roman"/>
          <w:color w:val="000000" w:themeColor="text1"/>
        </w:rPr>
        <w:t>Brussels I</w:t>
      </w:r>
      <w:r w:rsidR="00F57C18">
        <w:rPr>
          <w:rFonts w:ascii="Times New Roman" w:hAnsi="Times New Roman" w:cs="Times New Roman"/>
          <w:color w:val="000000" w:themeColor="text1"/>
        </w:rPr>
        <w:t>-</w:t>
      </w:r>
      <w:r w:rsidR="00F57C18" w:rsidRPr="00F57C18">
        <w:rPr>
          <w:rFonts w:ascii="Times New Roman" w:hAnsi="Times New Roman" w:cs="Times New Roman"/>
          <w:i/>
          <w:color w:val="000000" w:themeColor="text1"/>
        </w:rPr>
        <w:t>bis</w:t>
      </w:r>
      <w:r w:rsidRPr="00765CB8">
        <w:rPr>
          <w:rFonts w:ascii="Times New Roman" w:hAnsi="Times New Roman" w:cs="Times New Roman"/>
          <w:color w:val="000000" w:themeColor="text1"/>
        </w:rPr>
        <w:t xml:space="preserve"> Regulation</w:t>
      </w:r>
      <w:r w:rsidR="00A36B8C">
        <w:rPr>
          <w:rFonts w:ascii="Times New Roman" w:hAnsi="Times New Roman" w:cs="Times New Roman"/>
          <w:color w:val="000000" w:themeColor="text1"/>
        </w:rPr>
        <w:t xml:space="preserve"> and the Lugano Convention</w:t>
      </w:r>
      <w:r w:rsidR="00A70ED9" w:rsidRPr="00765CB8">
        <w:rPr>
          <w:rFonts w:ascii="Times New Roman" w:hAnsi="Times New Roman" w:cs="Times New Roman"/>
          <w:color w:val="000000" w:themeColor="text1"/>
        </w:rPr>
        <w:t xml:space="preserve">. Schedule 4 </w:t>
      </w:r>
      <w:r w:rsidR="00A26628">
        <w:rPr>
          <w:rFonts w:ascii="Times New Roman" w:hAnsi="Times New Roman" w:cs="Times New Roman"/>
          <w:color w:val="000000" w:themeColor="text1"/>
        </w:rPr>
        <w:t>of</w:t>
      </w:r>
      <w:r w:rsidR="00A70ED9" w:rsidRPr="00765CB8">
        <w:rPr>
          <w:rFonts w:ascii="Times New Roman" w:hAnsi="Times New Roman" w:cs="Times New Roman"/>
          <w:color w:val="000000" w:themeColor="text1"/>
        </w:rPr>
        <w:t xml:space="preserve"> the Civil Juris</w:t>
      </w:r>
      <w:r w:rsidRPr="00765CB8">
        <w:rPr>
          <w:rFonts w:ascii="Times New Roman" w:hAnsi="Times New Roman" w:cs="Times New Roman"/>
          <w:color w:val="000000" w:themeColor="text1"/>
        </w:rPr>
        <w:t>d</w:t>
      </w:r>
      <w:r w:rsidR="00A70ED9" w:rsidRPr="00765CB8">
        <w:rPr>
          <w:rFonts w:ascii="Times New Roman" w:hAnsi="Times New Roman" w:cs="Times New Roman"/>
          <w:color w:val="000000" w:themeColor="text1"/>
        </w:rPr>
        <w:t>i</w:t>
      </w:r>
      <w:r w:rsidRPr="00765CB8">
        <w:rPr>
          <w:rFonts w:ascii="Times New Roman" w:hAnsi="Times New Roman" w:cs="Times New Roman"/>
          <w:color w:val="000000" w:themeColor="text1"/>
        </w:rPr>
        <w:t>ction and Judgments Act 1982, which modified the Brussels Convention for allocation</w:t>
      </w:r>
      <w:r w:rsidR="00A70ED9" w:rsidRPr="00765CB8">
        <w:rPr>
          <w:rFonts w:ascii="Times New Roman" w:hAnsi="Times New Roman" w:cs="Times New Roman"/>
          <w:color w:val="000000" w:themeColor="text1"/>
        </w:rPr>
        <w:t xml:space="preserve"> of jurisdiction within the United Kingdom, applies to matters that fall within the scope of the Brussels Convention and where the defender or defendant is domiciled in another part of the United Kingdom with the effect that matters of succession are excluded.</w:t>
      </w:r>
      <w:r w:rsidR="00E12BC3" w:rsidRPr="00765CB8">
        <w:rPr>
          <w:rFonts w:ascii="Times New Roman" w:hAnsi="Times New Roman" w:cs="Times New Roman"/>
          <w:color w:val="000000" w:themeColor="text1"/>
        </w:rPr>
        <w:t xml:space="preserve"> </w:t>
      </w:r>
      <w:r w:rsidR="00A70ED9" w:rsidRPr="00765CB8">
        <w:rPr>
          <w:rFonts w:ascii="Times New Roman" w:hAnsi="Times New Roman" w:cs="Times New Roman"/>
          <w:color w:val="000000" w:themeColor="text1"/>
        </w:rPr>
        <w:t>However, matters of successi</w:t>
      </w:r>
      <w:r w:rsidR="00CF3581" w:rsidRPr="00765CB8">
        <w:rPr>
          <w:rFonts w:ascii="Times New Roman" w:hAnsi="Times New Roman" w:cs="Times New Roman"/>
          <w:color w:val="000000" w:themeColor="text1"/>
        </w:rPr>
        <w:t>on are not excluded from the or</w:t>
      </w:r>
      <w:r w:rsidR="00A70ED9" w:rsidRPr="00765CB8">
        <w:rPr>
          <w:rFonts w:ascii="Times New Roman" w:hAnsi="Times New Roman" w:cs="Times New Roman"/>
          <w:color w:val="000000" w:themeColor="text1"/>
        </w:rPr>
        <w:t xml:space="preserve">dinary rules of jurisdiction in Scotland, which are found within Schedule 8 </w:t>
      </w:r>
      <w:r w:rsidR="00A26628">
        <w:rPr>
          <w:rFonts w:ascii="Times New Roman" w:hAnsi="Times New Roman" w:cs="Times New Roman"/>
          <w:color w:val="000000" w:themeColor="text1"/>
        </w:rPr>
        <w:t>of</w:t>
      </w:r>
      <w:r w:rsidR="00A70ED9" w:rsidRPr="00765CB8">
        <w:rPr>
          <w:rFonts w:ascii="Times New Roman" w:hAnsi="Times New Roman" w:cs="Times New Roman"/>
          <w:color w:val="000000" w:themeColor="text1"/>
        </w:rPr>
        <w:t xml:space="preserve"> the Civil Jurisdiction and Judgments Act 1982, as</w:t>
      </w:r>
      <w:r w:rsidR="00CF3581" w:rsidRPr="00765CB8">
        <w:rPr>
          <w:rFonts w:ascii="Times New Roman" w:hAnsi="Times New Roman" w:cs="Times New Roman"/>
          <w:color w:val="000000" w:themeColor="text1"/>
        </w:rPr>
        <w:t xml:space="preserve"> </w:t>
      </w:r>
      <w:r w:rsidR="00BD19D8">
        <w:rPr>
          <w:rFonts w:ascii="Times New Roman" w:hAnsi="Times New Roman" w:cs="Times New Roman"/>
          <w:color w:val="000000" w:themeColor="text1"/>
        </w:rPr>
        <w:t xml:space="preserve">it was argued that </w:t>
      </w:r>
      <w:r w:rsidR="008B632F">
        <w:rPr>
          <w:rFonts w:ascii="Times New Roman" w:hAnsi="Times New Roman" w:cs="Times New Roman"/>
          <w:color w:val="000000" w:themeColor="text1"/>
        </w:rPr>
        <w:t>‘</w:t>
      </w:r>
      <w:r w:rsidR="00A70ED9" w:rsidRPr="00765CB8">
        <w:rPr>
          <w:rFonts w:ascii="Times New Roman" w:hAnsi="Times New Roman" w:cs="Times New Roman"/>
          <w:color w:val="000000" w:themeColor="text1"/>
        </w:rPr>
        <w:t>the additional rules of jurisdiction not derived f</w:t>
      </w:r>
      <w:r w:rsidR="00BD19D8">
        <w:rPr>
          <w:rFonts w:ascii="Times New Roman" w:hAnsi="Times New Roman" w:cs="Times New Roman"/>
          <w:color w:val="000000" w:themeColor="text1"/>
        </w:rPr>
        <w:t>rom the Convention should apply</w:t>
      </w:r>
      <w:r w:rsidR="008B632F">
        <w:rPr>
          <w:rFonts w:ascii="Times New Roman" w:hAnsi="Times New Roman" w:cs="Times New Roman"/>
          <w:color w:val="000000" w:themeColor="text1"/>
        </w:rPr>
        <w:t>’</w:t>
      </w:r>
      <w:r w:rsidR="00A70ED9" w:rsidRPr="00765CB8">
        <w:rPr>
          <w:rFonts w:ascii="Times New Roman" w:hAnsi="Times New Roman" w:cs="Times New Roman"/>
          <w:color w:val="000000" w:themeColor="text1"/>
        </w:rPr>
        <w:t>.</w:t>
      </w:r>
      <w:r w:rsidR="00CF3581" w:rsidRPr="00765CB8">
        <w:rPr>
          <w:rStyle w:val="FootnoteReference"/>
          <w:rFonts w:ascii="Times New Roman" w:hAnsi="Times New Roman" w:cs="Times New Roman"/>
          <w:color w:val="000000" w:themeColor="text1"/>
        </w:rPr>
        <w:footnoteReference w:id="80"/>
      </w:r>
    </w:p>
    <w:p w14:paraId="23DC0CCA" w14:textId="77777777" w:rsidR="00BD19D8" w:rsidRPr="00765CB8" w:rsidRDefault="00BD19D8" w:rsidP="00765CB8">
      <w:pPr>
        <w:jc w:val="both"/>
        <w:rPr>
          <w:rFonts w:ascii="Times New Roman" w:hAnsi="Times New Roman" w:cs="Times New Roman"/>
          <w:color w:val="000000" w:themeColor="text1"/>
        </w:rPr>
      </w:pPr>
    </w:p>
    <w:p w14:paraId="4BE36771" w14:textId="7F7D67C8" w:rsidR="007548F7" w:rsidRDefault="00075906"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The ‘general jurisdiction rule’</w:t>
      </w:r>
      <w:r w:rsidR="00A70ED9" w:rsidRPr="00765CB8">
        <w:rPr>
          <w:rFonts w:ascii="Times New Roman" w:hAnsi="Times New Roman" w:cs="Times New Roman"/>
          <w:color w:val="000000" w:themeColor="text1"/>
        </w:rPr>
        <w:t xml:space="preserve"> is based on the domicile of the defender.</w:t>
      </w:r>
      <w:r w:rsidR="00CF3581" w:rsidRPr="00765CB8">
        <w:rPr>
          <w:rStyle w:val="FootnoteReference"/>
          <w:rFonts w:ascii="Times New Roman" w:hAnsi="Times New Roman" w:cs="Times New Roman"/>
          <w:color w:val="000000" w:themeColor="text1"/>
        </w:rPr>
        <w:footnoteReference w:id="81"/>
      </w:r>
      <w:r w:rsidRPr="00765CB8">
        <w:rPr>
          <w:rFonts w:ascii="Times New Roman" w:hAnsi="Times New Roman" w:cs="Times New Roman"/>
          <w:color w:val="000000" w:themeColor="text1"/>
        </w:rPr>
        <w:t xml:space="preserve"> The ‘special jurisdiction rules’</w:t>
      </w:r>
      <w:r w:rsidR="00A70ED9" w:rsidRPr="00765CB8">
        <w:rPr>
          <w:rFonts w:ascii="Times New Roman" w:hAnsi="Times New Roman" w:cs="Times New Roman"/>
          <w:color w:val="000000" w:themeColor="text1"/>
        </w:rPr>
        <w:t xml:space="preserve"> relevant to matters of succession are Schedule 8, r.2(g) relating to </w:t>
      </w:r>
      <w:r w:rsidR="008800B6">
        <w:rPr>
          <w:rFonts w:ascii="Times New Roman" w:hAnsi="Times New Roman" w:cs="Times New Roman"/>
          <w:color w:val="000000" w:themeColor="text1"/>
        </w:rPr>
        <w:t xml:space="preserve">the internal affairs of </w:t>
      </w:r>
      <w:r w:rsidR="00A70ED9" w:rsidRPr="00765CB8">
        <w:rPr>
          <w:rFonts w:ascii="Times New Roman" w:hAnsi="Times New Roman" w:cs="Times New Roman"/>
          <w:color w:val="000000" w:themeColor="text1"/>
        </w:rPr>
        <w:t xml:space="preserve">trusts, </w:t>
      </w:r>
      <w:r w:rsidR="00A26628">
        <w:rPr>
          <w:rFonts w:ascii="Times New Roman" w:hAnsi="Times New Roman" w:cs="Times New Roman"/>
          <w:color w:val="000000" w:themeColor="text1"/>
        </w:rPr>
        <w:t>Schedule 8, r.2(</w:t>
      </w:r>
      <w:proofErr w:type="spellStart"/>
      <w:r w:rsidR="00A26628">
        <w:rPr>
          <w:rFonts w:ascii="Times New Roman" w:hAnsi="Times New Roman" w:cs="Times New Roman"/>
          <w:color w:val="000000" w:themeColor="text1"/>
        </w:rPr>
        <w:t>ga</w:t>
      </w:r>
      <w:proofErr w:type="spellEnd"/>
      <w:r w:rsidR="00A26628">
        <w:rPr>
          <w:rFonts w:ascii="Times New Roman" w:hAnsi="Times New Roman" w:cs="Times New Roman"/>
          <w:color w:val="000000" w:themeColor="text1"/>
        </w:rPr>
        <w:t xml:space="preserve">) allowing an action against an executor who has been confirmed in Scotland, </w:t>
      </w:r>
      <w:r w:rsidR="00A70ED9" w:rsidRPr="00765CB8">
        <w:rPr>
          <w:rFonts w:ascii="Times New Roman" w:hAnsi="Times New Roman" w:cs="Times New Roman"/>
          <w:color w:val="000000" w:themeColor="text1"/>
        </w:rPr>
        <w:t>Schedule 8, r.2(h)(i) and (ii) where the defender is not domiciled in the United Kingdom, he may be sued in the courts where moveable property belonging to him has been arrested or where any immov</w:t>
      </w:r>
      <w:r w:rsidR="00633798" w:rsidRPr="00765CB8">
        <w:rPr>
          <w:rFonts w:ascii="Times New Roman" w:hAnsi="Times New Roman" w:cs="Times New Roman"/>
          <w:color w:val="000000" w:themeColor="text1"/>
        </w:rPr>
        <w:t>e</w:t>
      </w:r>
      <w:r w:rsidR="00A70ED9" w:rsidRPr="00765CB8">
        <w:rPr>
          <w:rFonts w:ascii="Times New Roman" w:hAnsi="Times New Roman" w:cs="Times New Roman"/>
          <w:color w:val="000000" w:themeColor="text1"/>
        </w:rPr>
        <w:t>able property in which he has any beneficial interest is situate</w:t>
      </w:r>
      <w:r w:rsidR="00E34736">
        <w:rPr>
          <w:rFonts w:ascii="Times New Roman" w:hAnsi="Times New Roman" w:cs="Times New Roman"/>
          <w:color w:val="000000" w:themeColor="text1"/>
        </w:rPr>
        <w:t xml:space="preserve">d and Schedule 8, r.2(i) where </w:t>
      </w:r>
      <w:r w:rsidR="008B632F">
        <w:rPr>
          <w:rFonts w:ascii="Times New Roman" w:hAnsi="Times New Roman" w:cs="Times New Roman"/>
          <w:color w:val="000000" w:themeColor="text1"/>
        </w:rPr>
        <w:t>‘</w:t>
      </w:r>
      <w:r w:rsidR="00A70ED9" w:rsidRPr="00765CB8">
        <w:rPr>
          <w:rFonts w:ascii="Times New Roman" w:hAnsi="Times New Roman" w:cs="Times New Roman"/>
          <w:color w:val="000000" w:themeColor="text1"/>
        </w:rPr>
        <w:t>proceedings are brought to assert, declare or determine proprietary or possessory rights, or rights of security, in or over moveable property, or to obtain authority to dispose of mov</w:t>
      </w:r>
      <w:r w:rsidR="00633798" w:rsidRPr="00765CB8">
        <w:rPr>
          <w:rFonts w:ascii="Times New Roman" w:hAnsi="Times New Roman" w:cs="Times New Roman"/>
          <w:color w:val="000000" w:themeColor="text1"/>
        </w:rPr>
        <w:t>e</w:t>
      </w:r>
      <w:r w:rsidR="00A70ED9" w:rsidRPr="00765CB8">
        <w:rPr>
          <w:rFonts w:ascii="Times New Roman" w:hAnsi="Times New Roman" w:cs="Times New Roman"/>
          <w:color w:val="000000" w:themeColor="text1"/>
        </w:rPr>
        <w:t>able property, in the courts for the place</w:t>
      </w:r>
      <w:r w:rsidR="00E34736">
        <w:rPr>
          <w:rFonts w:ascii="Times New Roman" w:hAnsi="Times New Roman" w:cs="Times New Roman"/>
          <w:color w:val="000000" w:themeColor="text1"/>
        </w:rPr>
        <w:t xml:space="preserve"> where the property is situated</w:t>
      </w:r>
      <w:r w:rsidR="008B632F">
        <w:rPr>
          <w:rFonts w:ascii="Times New Roman" w:hAnsi="Times New Roman" w:cs="Times New Roman"/>
          <w:color w:val="000000" w:themeColor="text1"/>
        </w:rPr>
        <w:t>’</w:t>
      </w:r>
      <w:r w:rsidR="00A70ED9" w:rsidRPr="00765CB8">
        <w:rPr>
          <w:rFonts w:ascii="Times New Roman" w:hAnsi="Times New Roman" w:cs="Times New Roman"/>
          <w:color w:val="000000" w:themeColor="text1"/>
        </w:rPr>
        <w:t>.</w:t>
      </w:r>
    </w:p>
    <w:p w14:paraId="6E042D85" w14:textId="77777777" w:rsidR="00BD19D8" w:rsidRPr="00765CB8" w:rsidRDefault="00BD19D8" w:rsidP="00765CB8">
      <w:pPr>
        <w:jc w:val="both"/>
        <w:rPr>
          <w:rFonts w:ascii="Times New Roman" w:hAnsi="Times New Roman" w:cs="Times New Roman"/>
          <w:color w:val="000000" w:themeColor="text1"/>
        </w:rPr>
      </w:pPr>
    </w:p>
    <w:p w14:paraId="31532E7E" w14:textId="30403875" w:rsidR="007548F7" w:rsidRDefault="00A70ED9"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The exclusive jurisdiction rules relevant to</w:t>
      </w:r>
      <w:r w:rsidR="00E34736">
        <w:rPr>
          <w:rFonts w:ascii="Times New Roman" w:hAnsi="Times New Roman" w:cs="Times New Roman"/>
          <w:color w:val="000000" w:themeColor="text1"/>
        </w:rPr>
        <w:t xml:space="preserve"> matters of succession concern </w:t>
      </w:r>
      <w:r w:rsidR="008B632F">
        <w:rPr>
          <w:rFonts w:ascii="Times New Roman" w:hAnsi="Times New Roman" w:cs="Times New Roman"/>
          <w:color w:val="000000" w:themeColor="text1"/>
        </w:rPr>
        <w:t>‘</w:t>
      </w:r>
      <w:r w:rsidRPr="00765CB8">
        <w:rPr>
          <w:rFonts w:ascii="Times New Roman" w:hAnsi="Times New Roman" w:cs="Times New Roman"/>
          <w:color w:val="000000" w:themeColor="text1"/>
        </w:rPr>
        <w:t>proceedings which have as their object rights in rem in, or tenancies of, immoveable property, the courts for the place where the pro</w:t>
      </w:r>
      <w:r w:rsidR="00E34736">
        <w:rPr>
          <w:rFonts w:ascii="Times New Roman" w:hAnsi="Times New Roman" w:cs="Times New Roman"/>
          <w:color w:val="000000" w:themeColor="text1"/>
        </w:rPr>
        <w:t>perty is situated</w:t>
      </w:r>
      <w:r w:rsidR="008B632F">
        <w:rPr>
          <w:rFonts w:ascii="Times New Roman" w:hAnsi="Times New Roman" w:cs="Times New Roman"/>
          <w:color w:val="000000" w:themeColor="text1"/>
        </w:rPr>
        <w:t>’</w:t>
      </w:r>
      <w:r w:rsidRPr="00765CB8">
        <w:rPr>
          <w:rFonts w:ascii="Times New Roman" w:hAnsi="Times New Roman" w:cs="Times New Roman"/>
          <w:color w:val="000000" w:themeColor="text1"/>
        </w:rPr>
        <w:t>.</w:t>
      </w:r>
      <w:r w:rsidR="0096471F" w:rsidRPr="00765CB8">
        <w:rPr>
          <w:rStyle w:val="FootnoteReference"/>
          <w:rFonts w:ascii="Times New Roman" w:hAnsi="Times New Roman" w:cs="Times New Roman"/>
          <w:color w:val="000000" w:themeColor="text1"/>
        </w:rPr>
        <w:footnoteReference w:id="82"/>
      </w:r>
    </w:p>
    <w:p w14:paraId="5F2B7642" w14:textId="77777777" w:rsidR="00BD19D8" w:rsidRPr="00765CB8" w:rsidRDefault="00BD19D8" w:rsidP="00765CB8">
      <w:pPr>
        <w:jc w:val="both"/>
        <w:rPr>
          <w:rFonts w:ascii="Times New Roman" w:hAnsi="Times New Roman" w:cs="Times New Roman"/>
          <w:color w:val="000000" w:themeColor="text1"/>
        </w:rPr>
      </w:pPr>
    </w:p>
    <w:p w14:paraId="21649DB1" w14:textId="77777777" w:rsidR="007548F7" w:rsidRPr="00765CB8" w:rsidRDefault="00A70ED9"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Prorogation of jurisdiction rules that are relevant to matters of succession are those involving trust instruments.</w:t>
      </w:r>
      <w:r w:rsidR="0096471F" w:rsidRPr="00765CB8">
        <w:rPr>
          <w:rStyle w:val="FootnoteReference"/>
          <w:rFonts w:ascii="Times New Roman" w:hAnsi="Times New Roman" w:cs="Times New Roman"/>
          <w:color w:val="000000" w:themeColor="text1"/>
        </w:rPr>
        <w:footnoteReference w:id="83"/>
      </w:r>
      <w:r w:rsidRPr="00765CB8">
        <w:rPr>
          <w:rFonts w:ascii="Times New Roman" w:hAnsi="Times New Roman" w:cs="Times New Roman"/>
          <w:color w:val="000000" w:themeColor="text1"/>
        </w:rPr>
        <w:t xml:space="preserve"> </w:t>
      </w:r>
    </w:p>
    <w:p w14:paraId="2C024F5E" w14:textId="77777777" w:rsidR="00107764" w:rsidRPr="00765CB8" w:rsidRDefault="00107764" w:rsidP="00765CB8">
      <w:pPr>
        <w:jc w:val="both"/>
        <w:rPr>
          <w:rFonts w:ascii="Times New Roman" w:hAnsi="Times New Roman" w:cs="Times New Roman"/>
          <w:color w:val="000000" w:themeColor="text1"/>
        </w:rPr>
      </w:pPr>
      <w:bookmarkStart w:id="2" w:name="_Toc299883018"/>
    </w:p>
    <w:p w14:paraId="6FAB883C" w14:textId="77777777" w:rsidR="0056455B" w:rsidRDefault="008A6670" w:rsidP="008A6670">
      <w:pPr>
        <w:pStyle w:val="ListParagraph"/>
        <w:ind w:left="0"/>
        <w:jc w:val="both"/>
        <w:rPr>
          <w:rFonts w:ascii="Times New Roman" w:hAnsi="Times New Roman" w:cs="Times New Roman"/>
          <w:i/>
          <w:color w:val="000000" w:themeColor="text1"/>
        </w:rPr>
      </w:pPr>
      <w:r w:rsidRPr="008A6670">
        <w:rPr>
          <w:rFonts w:ascii="Times New Roman" w:hAnsi="Times New Roman" w:cs="Times New Roman"/>
          <w:i/>
          <w:color w:val="000000" w:themeColor="text1"/>
        </w:rPr>
        <w:t xml:space="preserve">iii. </w:t>
      </w:r>
      <w:r w:rsidR="00CF1155" w:rsidRPr="008A6670">
        <w:rPr>
          <w:rFonts w:ascii="Times New Roman" w:hAnsi="Times New Roman" w:cs="Times New Roman"/>
          <w:i/>
          <w:color w:val="000000" w:themeColor="text1"/>
        </w:rPr>
        <w:t xml:space="preserve">Applicable </w:t>
      </w:r>
      <w:r w:rsidRPr="008A6670">
        <w:rPr>
          <w:rFonts w:ascii="Times New Roman" w:hAnsi="Times New Roman" w:cs="Times New Roman"/>
          <w:i/>
          <w:color w:val="000000" w:themeColor="text1"/>
        </w:rPr>
        <w:t>law</w:t>
      </w:r>
      <w:bookmarkEnd w:id="2"/>
      <w:r w:rsidRPr="008A6670">
        <w:rPr>
          <w:rFonts w:ascii="Times New Roman" w:hAnsi="Times New Roman" w:cs="Times New Roman"/>
          <w:i/>
          <w:color w:val="000000" w:themeColor="text1"/>
        </w:rPr>
        <w:t xml:space="preserve"> in succession</w:t>
      </w:r>
    </w:p>
    <w:p w14:paraId="34E781F9" w14:textId="77777777" w:rsidR="00D466A1" w:rsidRPr="008A6670" w:rsidRDefault="00D466A1" w:rsidP="008A6670">
      <w:pPr>
        <w:pStyle w:val="ListParagraph"/>
        <w:ind w:left="0"/>
        <w:jc w:val="both"/>
        <w:rPr>
          <w:rFonts w:ascii="Times New Roman" w:hAnsi="Times New Roman" w:cs="Times New Roman"/>
          <w:i/>
          <w:color w:val="000000" w:themeColor="text1"/>
        </w:rPr>
      </w:pPr>
    </w:p>
    <w:p w14:paraId="229663C1" w14:textId="7E7D00E7" w:rsidR="00B41C49" w:rsidRDefault="008749F7"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The </w:t>
      </w:r>
      <w:r w:rsidR="00B41C49" w:rsidRPr="00765CB8">
        <w:rPr>
          <w:rFonts w:ascii="Times New Roman" w:hAnsi="Times New Roman" w:cs="Times New Roman"/>
          <w:color w:val="000000" w:themeColor="text1"/>
        </w:rPr>
        <w:t xml:space="preserve">Scottish </w:t>
      </w:r>
      <w:r w:rsidR="008800B6">
        <w:rPr>
          <w:rFonts w:ascii="Times New Roman" w:hAnsi="Times New Roman" w:cs="Times New Roman"/>
          <w:color w:val="000000" w:themeColor="text1"/>
        </w:rPr>
        <w:t>applicable</w:t>
      </w:r>
      <w:r w:rsidR="00B41C49" w:rsidRPr="00765CB8">
        <w:rPr>
          <w:rFonts w:ascii="Times New Roman" w:hAnsi="Times New Roman" w:cs="Times New Roman"/>
          <w:color w:val="000000" w:themeColor="text1"/>
        </w:rPr>
        <w:t xml:space="preserve"> law rules a</w:t>
      </w:r>
      <w:r w:rsidR="008800B6">
        <w:rPr>
          <w:rFonts w:ascii="Times New Roman" w:hAnsi="Times New Roman" w:cs="Times New Roman"/>
          <w:color w:val="000000" w:themeColor="text1"/>
        </w:rPr>
        <w:t>pply</w:t>
      </w:r>
      <w:r w:rsidR="00B41C49" w:rsidRPr="00765CB8">
        <w:rPr>
          <w:rFonts w:ascii="Times New Roman" w:hAnsi="Times New Roman" w:cs="Times New Roman"/>
          <w:color w:val="000000" w:themeColor="text1"/>
        </w:rPr>
        <w:t xml:space="preserve"> the </w:t>
      </w:r>
      <w:r w:rsidRPr="00765CB8">
        <w:rPr>
          <w:rFonts w:ascii="Times New Roman" w:hAnsi="Times New Roman" w:cs="Times New Roman"/>
          <w:color w:val="000000" w:themeColor="text1"/>
        </w:rPr>
        <w:t>principle of scission which refers to the difference in rules in succession between the law applicable to moveable property and the law applicable to immoveable property.</w:t>
      </w:r>
      <w:r w:rsidR="00DA4C01" w:rsidRPr="00765CB8">
        <w:rPr>
          <w:rStyle w:val="FootnoteReference"/>
          <w:rFonts w:ascii="Times New Roman" w:hAnsi="Times New Roman" w:cs="Times New Roman"/>
          <w:color w:val="000000" w:themeColor="text1"/>
        </w:rPr>
        <w:footnoteReference w:id="84"/>
      </w:r>
      <w:r w:rsidR="00DA4C01" w:rsidRPr="00765CB8">
        <w:rPr>
          <w:rFonts w:ascii="Times New Roman" w:hAnsi="Times New Roman" w:cs="Times New Roman"/>
          <w:color w:val="000000" w:themeColor="text1"/>
        </w:rPr>
        <w:t xml:space="preserve"> </w:t>
      </w:r>
      <w:r w:rsidR="00595698" w:rsidRPr="00765CB8">
        <w:rPr>
          <w:rFonts w:ascii="Times New Roman" w:hAnsi="Times New Roman" w:cs="Times New Roman"/>
          <w:color w:val="000000" w:themeColor="text1"/>
        </w:rPr>
        <w:t>As previously stated</w:t>
      </w:r>
      <w:r w:rsidR="00B41C49" w:rsidRPr="00765CB8">
        <w:rPr>
          <w:rFonts w:ascii="Times New Roman" w:hAnsi="Times New Roman" w:cs="Times New Roman"/>
          <w:color w:val="000000" w:themeColor="text1"/>
        </w:rPr>
        <w:t>, the law applicable to the succession of moveable property is governed by the law of the deceased’s domicile</w:t>
      </w:r>
      <w:r w:rsidR="00633798" w:rsidRPr="00765CB8">
        <w:rPr>
          <w:rFonts w:ascii="Times New Roman" w:hAnsi="Times New Roman" w:cs="Times New Roman"/>
          <w:color w:val="000000" w:themeColor="text1"/>
        </w:rPr>
        <w:t xml:space="preserve"> at death</w:t>
      </w:r>
      <w:r w:rsidR="00B41C49" w:rsidRPr="00765CB8">
        <w:rPr>
          <w:rFonts w:ascii="Times New Roman" w:hAnsi="Times New Roman" w:cs="Times New Roman"/>
          <w:color w:val="000000" w:themeColor="text1"/>
        </w:rPr>
        <w:t xml:space="preserve">, while the law applicable to the </w:t>
      </w:r>
      <w:r w:rsidR="00595698" w:rsidRPr="00765CB8">
        <w:rPr>
          <w:rFonts w:ascii="Times New Roman" w:hAnsi="Times New Roman" w:cs="Times New Roman"/>
          <w:color w:val="000000" w:themeColor="text1"/>
        </w:rPr>
        <w:t>immov</w:t>
      </w:r>
      <w:r w:rsidR="002B6E13" w:rsidRPr="00765CB8">
        <w:rPr>
          <w:rFonts w:ascii="Times New Roman" w:hAnsi="Times New Roman" w:cs="Times New Roman"/>
          <w:color w:val="000000" w:themeColor="text1"/>
        </w:rPr>
        <w:t>e</w:t>
      </w:r>
      <w:r w:rsidR="00595698" w:rsidRPr="00765CB8">
        <w:rPr>
          <w:rFonts w:ascii="Times New Roman" w:hAnsi="Times New Roman" w:cs="Times New Roman"/>
          <w:color w:val="000000" w:themeColor="text1"/>
        </w:rPr>
        <w:t xml:space="preserve">able property is governed by the </w:t>
      </w:r>
      <w:r w:rsidR="00595698" w:rsidRPr="00765CB8">
        <w:rPr>
          <w:rFonts w:ascii="Times New Roman" w:hAnsi="Times New Roman" w:cs="Times New Roman"/>
          <w:i/>
          <w:color w:val="000000" w:themeColor="text1"/>
        </w:rPr>
        <w:t>lex situs</w:t>
      </w:r>
      <w:r w:rsidR="00595698" w:rsidRPr="00765CB8">
        <w:rPr>
          <w:rFonts w:ascii="Times New Roman" w:hAnsi="Times New Roman" w:cs="Times New Roman"/>
          <w:color w:val="000000" w:themeColor="text1"/>
        </w:rPr>
        <w:t>.</w:t>
      </w:r>
      <w:r w:rsidR="00136E48" w:rsidRPr="00765CB8">
        <w:rPr>
          <w:rStyle w:val="FootnoteReference"/>
          <w:rFonts w:ascii="Times New Roman" w:hAnsi="Times New Roman" w:cs="Times New Roman"/>
          <w:color w:val="000000" w:themeColor="text1"/>
        </w:rPr>
        <w:footnoteReference w:id="85"/>
      </w:r>
    </w:p>
    <w:p w14:paraId="7E7DA3A0" w14:textId="77777777" w:rsidR="00BD19D8" w:rsidRPr="00765CB8" w:rsidRDefault="00BD19D8" w:rsidP="00765CB8">
      <w:pPr>
        <w:jc w:val="both"/>
        <w:rPr>
          <w:rFonts w:ascii="Times New Roman" w:hAnsi="Times New Roman" w:cs="Times New Roman"/>
          <w:color w:val="000000" w:themeColor="text1"/>
        </w:rPr>
      </w:pPr>
    </w:p>
    <w:p w14:paraId="34FB1A07" w14:textId="61B8FAA0" w:rsidR="003E7A6F" w:rsidRDefault="00B41C49"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In Scotland, t</w:t>
      </w:r>
      <w:r w:rsidR="00595698" w:rsidRPr="00765CB8">
        <w:rPr>
          <w:rFonts w:ascii="Times New Roman" w:hAnsi="Times New Roman" w:cs="Times New Roman"/>
          <w:color w:val="000000" w:themeColor="text1"/>
        </w:rPr>
        <w:t>h</w:t>
      </w:r>
      <w:r w:rsidR="008800B6">
        <w:rPr>
          <w:rFonts w:ascii="Times New Roman" w:hAnsi="Times New Roman" w:cs="Times New Roman"/>
          <w:color w:val="000000" w:themeColor="text1"/>
        </w:rPr>
        <w:t>ere is a system of forced heirship through</w:t>
      </w:r>
      <w:r w:rsidRPr="00765CB8">
        <w:rPr>
          <w:rFonts w:ascii="Times New Roman" w:hAnsi="Times New Roman" w:cs="Times New Roman"/>
          <w:color w:val="000000" w:themeColor="text1"/>
        </w:rPr>
        <w:t xml:space="preserve"> ‘legal rights’</w:t>
      </w:r>
      <w:r w:rsidR="008800B6">
        <w:rPr>
          <w:rFonts w:ascii="Times New Roman" w:hAnsi="Times New Roman" w:cs="Times New Roman"/>
          <w:color w:val="000000" w:themeColor="text1"/>
        </w:rPr>
        <w:t xml:space="preserve"> </w:t>
      </w:r>
      <w:r w:rsidR="00595698" w:rsidRPr="00765CB8">
        <w:rPr>
          <w:rFonts w:ascii="Times New Roman" w:hAnsi="Times New Roman" w:cs="Times New Roman"/>
          <w:color w:val="000000" w:themeColor="text1"/>
        </w:rPr>
        <w:t>for spouses</w:t>
      </w:r>
      <w:r w:rsidR="00984879" w:rsidRPr="00765CB8">
        <w:rPr>
          <w:rFonts w:ascii="Times New Roman" w:hAnsi="Times New Roman" w:cs="Times New Roman"/>
          <w:color w:val="000000" w:themeColor="text1"/>
        </w:rPr>
        <w:t>/civil partners</w:t>
      </w:r>
      <w:r w:rsidR="00595698" w:rsidRPr="00765CB8">
        <w:rPr>
          <w:rFonts w:ascii="Times New Roman" w:hAnsi="Times New Roman" w:cs="Times New Roman"/>
          <w:color w:val="000000" w:themeColor="text1"/>
        </w:rPr>
        <w:t xml:space="preserve"> and children that </w:t>
      </w:r>
      <w:r w:rsidR="009F5AD7" w:rsidRPr="00765CB8">
        <w:rPr>
          <w:rFonts w:ascii="Times New Roman" w:hAnsi="Times New Roman" w:cs="Times New Roman"/>
          <w:color w:val="000000" w:themeColor="text1"/>
        </w:rPr>
        <w:t>apply</w:t>
      </w:r>
      <w:r w:rsidR="00595698" w:rsidRPr="00765CB8">
        <w:rPr>
          <w:rFonts w:ascii="Times New Roman" w:hAnsi="Times New Roman" w:cs="Times New Roman"/>
          <w:color w:val="000000" w:themeColor="text1"/>
        </w:rPr>
        <w:t xml:space="preserve"> in both testate and intestate succession.</w:t>
      </w:r>
      <w:r w:rsidR="00595698" w:rsidRPr="00765CB8">
        <w:rPr>
          <w:rStyle w:val="FootnoteReference"/>
          <w:rFonts w:ascii="Times New Roman" w:hAnsi="Times New Roman" w:cs="Times New Roman"/>
          <w:color w:val="000000" w:themeColor="text1"/>
        </w:rPr>
        <w:footnoteReference w:id="86"/>
      </w:r>
      <w:r w:rsidRPr="00765CB8">
        <w:rPr>
          <w:rFonts w:ascii="Times New Roman" w:hAnsi="Times New Roman" w:cs="Times New Roman"/>
          <w:color w:val="000000" w:themeColor="text1"/>
        </w:rPr>
        <w:t xml:space="preserve"> </w:t>
      </w:r>
      <w:r w:rsidR="00595698" w:rsidRPr="00765CB8">
        <w:rPr>
          <w:rFonts w:ascii="Times New Roman" w:hAnsi="Times New Roman" w:cs="Times New Roman"/>
          <w:color w:val="000000" w:themeColor="text1"/>
        </w:rPr>
        <w:t>These rights limit testamentary freedom in Scotland.</w:t>
      </w:r>
      <w:r w:rsidR="00844D70" w:rsidRPr="00765CB8">
        <w:rPr>
          <w:rStyle w:val="FootnoteReference"/>
          <w:rFonts w:ascii="Times New Roman" w:hAnsi="Times New Roman" w:cs="Times New Roman"/>
          <w:color w:val="000000" w:themeColor="text1"/>
        </w:rPr>
        <w:footnoteReference w:id="87"/>
      </w:r>
      <w:r w:rsidR="00595698" w:rsidRPr="00765CB8">
        <w:rPr>
          <w:rFonts w:ascii="Times New Roman" w:hAnsi="Times New Roman" w:cs="Times New Roman"/>
          <w:color w:val="000000" w:themeColor="text1"/>
        </w:rPr>
        <w:t xml:space="preserve"> </w:t>
      </w:r>
      <w:r w:rsidR="003E7A6F" w:rsidRPr="00765CB8">
        <w:rPr>
          <w:rFonts w:ascii="Times New Roman" w:hAnsi="Times New Roman" w:cs="Times New Roman"/>
          <w:color w:val="000000" w:themeColor="text1"/>
        </w:rPr>
        <w:t xml:space="preserve">This </w:t>
      </w:r>
      <w:r w:rsidR="008800B6">
        <w:rPr>
          <w:rFonts w:ascii="Times New Roman" w:hAnsi="Times New Roman" w:cs="Times New Roman"/>
          <w:color w:val="000000" w:themeColor="text1"/>
        </w:rPr>
        <w:t>was</w:t>
      </w:r>
      <w:r w:rsidR="003E7A6F" w:rsidRPr="00765CB8">
        <w:rPr>
          <w:rFonts w:ascii="Times New Roman" w:hAnsi="Times New Roman" w:cs="Times New Roman"/>
          <w:color w:val="000000" w:themeColor="text1"/>
        </w:rPr>
        <w:t xml:space="preserve"> an area put forward for major change by the Scottish </w:t>
      </w:r>
      <w:r w:rsidR="00075906" w:rsidRPr="00765CB8">
        <w:rPr>
          <w:rFonts w:ascii="Times New Roman" w:hAnsi="Times New Roman" w:cs="Times New Roman"/>
          <w:color w:val="000000" w:themeColor="text1"/>
        </w:rPr>
        <w:t xml:space="preserve">Law </w:t>
      </w:r>
      <w:r w:rsidR="003E7A6F" w:rsidRPr="00765CB8">
        <w:rPr>
          <w:rFonts w:ascii="Times New Roman" w:hAnsi="Times New Roman" w:cs="Times New Roman"/>
          <w:color w:val="000000" w:themeColor="text1"/>
        </w:rPr>
        <w:t>Commission.</w:t>
      </w:r>
      <w:r w:rsidR="003E7A6F" w:rsidRPr="00765CB8">
        <w:rPr>
          <w:rStyle w:val="FootnoteReference"/>
          <w:rFonts w:ascii="Times New Roman" w:hAnsi="Times New Roman" w:cs="Times New Roman"/>
          <w:color w:val="000000" w:themeColor="text1"/>
        </w:rPr>
        <w:footnoteReference w:id="88"/>
      </w:r>
      <w:r w:rsidR="003E7A6F" w:rsidRPr="00765CB8">
        <w:rPr>
          <w:rFonts w:ascii="Times New Roman" w:hAnsi="Times New Roman" w:cs="Times New Roman"/>
          <w:color w:val="000000" w:themeColor="text1"/>
        </w:rPr>
        <w:t xml:space="preserve"> The </w:t>
      </w:r>
      <w:r w:rsidR="008800B6">
        <w:rPr>
          <w:rFonts w:ascii="Times New Roman" w:hAnsi="Times New Roman" w:cs="Times New Roman"/>
          <w:color w:val="000000" w:themeColor="text1"/>
        </w:rPr>
        <w:t>proposal was</w:t>
      </w:r>
      <w:r w:rsidR="003E7A6F" w:rsidRPr="00765CB8">
        <w:rPr>
          <w:rFonts w:ascii="Times New Roman" w:hAnsi="Times New Roman" w:cs="Times New Roman"/>
          <w:color w:val="000000" w:themeColor="text1"/>
        </w:rPr>
        <w:t xml:space="preserve"> that instead of the legal rights only being available from the moveable estate </w:t>
      </w:r>
      <w:r w:rsidR="008800B6">
        <w:rPr>
          <w:rFonts w:ascii="Times New Roman" w:hAnsi="Times New Roman" w:cs="Times New Roman"/>
          <w:color w:val="000000" w:themeColor="text1"/>
        </w:rPr>
        <w:t xml:space="preserve">they should </w:t>
      </w:r>
      <w:r w:rsidR="003E7A6F" w:rsidRPr="00765CB8">
        <w:rPr>
          <w:rFonts w:ascii="Times New Roman" w:hAnsi="Times New Roman" w:cs="Times New Roman"/>
          <w:color w:val="000000" w:themeColor="text1"/>
        </w:rPr>
        <w:t>come</w:t>
      </w:r>
      <w:r w:rsidR="008800B6">
        <w:rPr>
          <w:rFonts w:ascii="Times New Roman" w:hAnsi="Times New Roman" w:cs="Times New Roman"/>
          <w:color w:val="000000" w:themeColor="text1"/>
        </w:rPr>
        <w:t xml:space="preserve"> </w:t>
      </w:r>
      <w:r w:rsidR="003E7A6F" w:rsidRPr="00765CB8">
        <w:rPr>
          <w:rFonts w:ascii="Times New Roman" w:hAnsi="Times New Roman" w:cs="Times New Roman"/>
          <w:color w:val="000000" w:themeColor="text1"/>
        </w:rPr>
        <w:t>from the estate as a whole.</w:t>
      </w:r>
      <w:r w:rsidR="003E7A6F" w:rsidRPr="00765CB8">
        <w:rPr>
          <w:rStyle w:val="FootnoteReference"/>
          <w:rFonts w:ascii="Times New Roman" w:hAnsi="Times New Roman" w:cs="Times New Roman"/>
          <w:color w:val="000000" w:themeColor="text1"/>
        </w:rPr>
        <w:footnoteReference w:id="89"/>
      </w:r>
      <w:r w:rsidR="003E7A6F" w:rsidRPr="00765CB8">
        <w:rPr>
          <w:rFonts w:ascii="Times New Roman" w:hAnsi="Times New Roman" w:cs="Times New Roman"/>
          <w:color w:val="000000" w:themeColor="text1"/>
        </w:rPr>
        <w:t xml:space="preserve"> </w:t>
      </w:r>
      <w:r w:rsidR="008800B6">
        <w:rPr>
          <w:rFonts w:ascii="Times New Roman" w:hAnsi="Times New Roman" w:cs="Times New Roman"/>
          <w:color w:val="000000" w:themeColor="text1"/>
        </w:rPr>
        <w:t>This proposal was rejected by the Scottish Government.</w:t>
      </w:r>
      <w:r w:rsidR="008800B6">
        <w:rPr>
          <w:rStyle w:val="FootnoteReference"/>
          <w:rFonts w:ascii="Times New Roman" w:hAnsi="Times New Roman" w:cs="Times New Roman"/>
          <w:color w:val="000000" w:themeColor="text1"/>
        </w:rPr>
        <w:footnoteReference w:id="90"/>
      </w:r>
    </w:p>
    <w:p w14:paraId="20223D69" w14:textId="77777777" w:rsidR="00BD19D8" w:rsidRPr="00765CB8" w:rsidRDefault="00BD19D8" w:rsidP="00765CB8">
      <w:pPr>
        <w:jc w:val="both"/>
        <w:rPr>
          <w:rFonts w:ascii="Times New Roman" w:hAnsi="Times New Roman" w:cs="Times New Roman"/>
          <w:color w:val="000000" w:themeColor="text1"/>
        </w:rPr>
      </w:pPr>
    </w:p>
    <w:p w14:paraId="5C9AA7D4" w14:textId="77777777" w:rsidR="00B41C49" w:rsidRPr="00765CB8" w:rsidRDefault="00844D70"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In intestate succession, there are also prior rights that provide rights to a spouse, civil partner and in cases concerning a croft tenancy to cohabitants where the relationship was of at least two years in length.</w:t>
      </w:r>
      <w:r w:rsidRPr="00765CB8">
        <w:rPr>
          <w:rStyle w:val="FootnoteReference"/>
          <w:rFonts w:ascii="Times New Roman" w:hAnsi="Times New Roman" w:cs="Times New Roman"/>
          <w:color w:val="000000" w:themeColor="text1"/>
        </w:rPr>
        <w:footnoteReference w:id="91"/>
      </w:r>
    </w:p>
    <w:p w14:paraId="3425632E" w14:textId="77777777" w:rsidR="00844D70" w:rsidRPr="00765CB8" w:rsidRDefault="00844D70" w:rsidP="00765CB8">
      <w:pPr>
        <w:jc w:val="both"/>
        <w:rPr>
          <w:rFonts w:ascii="Times New Roman" w:hAnsi="Times New Roman" w:cs="Times New Roman"/>
          <w:color w:val="000000" w:themeColor="text1"/>
        </w:rPr>
      </w:pPr>
    </w:p>
    <w:p w14:paraId="48FF07DE" w14:textId="77777777" w:rsidR="00455C55" w:rsidRPr="00765CB8" w:rsidRDefault="00765CB8" w:rsidP="00765CB8">
      <w:pPr>
        <w:jc w:val="both"/>
        <w:rPr>
          <w:rFonts w:ascii="Times New Roman" w:hAnsi="Times New Roman" w:cs="Times New Roman"/>
          <w:color w:val="000000" w:themeColor="text1"/>
        </w:rPr>
      </w:pPr>
      <w:bookmarkStart w:id="3" w:name="_Toc299883020"/>
      <w:r w:rsidRPr="00765CB8">
        <w:rPr>
          <w:rFonts w:ascii="Times New Roman" w:hAnsi="Times New Roman" w:cs="Times New Roman"/>
          <w:color w:val="000000" w:themeColor="text1"/>
        </w:rPr>
        <w:t xml:space="preserve">IV. </w:t>
      </w:r>
      <w:bookmarkEnd w:id="3"/>
      <w:r w:rsidRPr="00765CB8">
        <w:rPr>
          <w:rFonts w:ascii="Times New Roman" w:hAnsi="Times New Roman" w:cs="Times New Roman"/>
          <w:color w:val="000000" w:themeColor="text1"/>
        </w:rPr>
        <w:t>FUTURE DEVELOPMENT OF THE PRIVATE INTERNATIONAL LAW OF SUCCESSION IN SCOTLAND</w:t>
      </w:r>
    </w:p>
    <w:p w14:paraId="7ADDA969" w14:textId="77777777" w:rsidR="007548F7" w:rsidRPr="00765CB8" w:rsidRDefault="007548F7" w:rsidP="00765CB8">
      <w:pPr>
        <w:jc w:val="both"/>
        <w:rPr>
          <w:rFonts w:ascii="Times New Roman" w:hAnsi="Times New Roman" w:cs="Times New Roman"/>
          <w:color w:val="000000" w:themeColor="text1"/>
        </w:rPr>
      </w:pPr>
    </w:p>
    <w:p w14:paraId="24B91237" w14:textId="77777777" w:rsidR="00EE470B" w:rsidRPr="008A6670" w:rsidRDefault="008A6670" w:rsidP="00765CB8">
      <w:pPr>
        <w:jc w:val="both"/>
        <w:rPr>
          <w:rFonts w:ascii="Times New Roman" w:hAnsi="Times New Roman" w:cs="Times New Roman"/>
          <w:b/>
          <w:color w:val="000000" w:themeColor="text1"/>
        </w:rPr>
      </w:pPr>
      <w:r w:rsidRPr="008A6670">
        <w:rPr>
          <w:rFonts w:ascii="Times New Roman" w:hAnsi="Times New Roman" w:cs="Times New Roman"/>
          <w:b/>
          <w:lang w:val="en-US"/>
        </w:rPr>
        <w:t xml:space="preserve">A. </w:t>
      </w:r>
      <w:r w:rsidR="00EE470B" w:rsidRPr="008A6670">
        <w:rPr>
          <w:rFonts w:ascii="Times New Roman" w:hAnsi="Times New Roman" w:cs="Times New Roman"/>
          <w:b/>
          <w:lang w:val="en-US"/>
        </w:rPr>
        <w:t xml:space="preserve">Scottish </w:t>
      </w:r>
      <w:r w:rsidRPr="008A6670">
        <w:rPr>
          <w:rFonts w:ascii="Times New Roman" w:hAnsi="Times New Roman" w:cs="Times New Roman"/>
          <w:b/>
          <w:lang w:val="en-US"/>
        </w:rPr>
        <w:t>government consultation on technical issues relating to succession</w:t>
      </w:r>
    </w:p>
    <w:p w14:paraId="6AFC7F33" w14:textId="77777777" w:rsidR="00EE470B" w:rsidRPr="00765CB8" w:rsidRDefault="00EE470B" w:rsidP="00765CB8">
      <w:pPr>
        <w:jc w:val="both"/>
        <w:rPr>
          <w:rFonts w:ascii="Times New Roman" w:hAnsi="Times New Roman" w:cs="Times New Roman"/>
          <w:color w:val="000000" w:themeColor="text1"/>
        </w:rPr>
      </w:pPr>
    </w:p>
    <w:p w14:paraId="7AAE1C89" w14:textId="1073C4D6" w:rsidR="00EE470B" w:rsidRPr="00765CB8" w:rsidRDefault="00E70546" w:rsidP="00765CB8">
      <w:pPr>
        <w:jc w:val="both"/>
        <w:rPr>
          <w:rFonts w:ascii="Times New Roman" w:hAnsi="Times New Roman" w:cs="Times New Roman"/>
        </w:rPr>
      </w:pPr>
      <w:r w:rsidRPr="00765CB8">
        <w:rPr>
          <w:rFonts w:ascii="Times New Roman" w:hAnsi="Times New Roman" w:cs="Times New Roman"/>
          <w:color w:val="000000" w:themeColor="text1"/>
        </w:rPr>
        <w:t>A</w:t>
      </w:r>
      <w:r w:rsidR="00EE470B" w:rsidRPr="00765CB8">
        <w:rPr>
          <w:rFonts w:ascii="Times New Roman" w:hAnsi="Times New Roman" w:cs="Times New Roman"/>
          <w:color w:val="000000" w:themeColor="text1"/>
        </w:rPr>
        <w:t xml:space="preserve"> consultation by the Scottish Government </w:t>
      </w:r>
      <w:r w:rsidRPr="00765CB8">
        <w:rPr>
          <w:rFonts w:ascii="Times New Roman" w:hAnsi="Times New Roman" w:cs="Times New Roman"/>
          <w:color w:val="000000" w:themeColor="text1"/>
        </w:rPr>
        <w:t xml:space="preserve">in 2014, in anticipation of law reform </w:t>
      </w:r>
      <w:r w:rsidR="00EE470B" w:rsidRPr="00765CB8">
        <w:rPr>
          <w:rFonts w:ascii="Times New Roman" w:hAnsi="Times New Roman" w:cs="Times New Roman"/>
          <w:color w:val="000000" w:themeColor="text1"/>
        </w:rPr>
        <w:t xml:space="preserve">on </w:t>
      </w:r>
      <w:r w:rsidRPr="00765CB8">
        <w:rPr>
          <w:rFonts w:ascii="Times New Roman" w:hAnsi="Times New Roman" w:cs="Times New Roman"/>
          <w:color w:val="000000" w:themeColor="text1"/>
        </w:rPr>
        <w:t xml:space="preserve">the </w:t>
      </w:r>
      <w:r w:rsidR="00EE470B" w:rsidRPr="00765CB8">
        <w:rPr>
          <w:rFonts w:ascii="Times New Roman" w:hAnsi="Times New Roman" w:cs="Times New Roman"/>
          <w:color w:val="000000" w:themeColor="text1"/>
        </w:rPr>
        <w:t>technical issues relating to succession</w:t>
      </w:r>
      <w:r w:rsidRPr="00765CB8">
        <w:rPr>
          <w:rFonts w:ascii="Times New Roman" w:hAnsi="Times New Roman" w:cs="Times New Roman"/>
          <w:color w:val="000000" w:themeColor="text1"/>
        </w:rPr>
        <w:t>,</w:t>
      </w:r>
      <w:r w:rsidR="00EE470B" w:rsidRPr="00765CB8">
        <w:rPr>
          <w:rFonts w:ascii="Times New Roman" w:hAnsi="Times New Roman" w:cs="Times New Roman"/>
          <w:color w:val="000000" w:themeColor="text1"/>
        </w:rPr>
        <w:t xml:space="preserve"> contained</w:t>
      </w:r>
      <w:r w:rsidR="00075906" w:rsidRPr="00765CB8">
        <w:rPr>
          <w:rFonts w:ascii="Times New Roman" w:hAnsi="Times New Roman" w:cs="Times New Roman"/>
          <w:color w:val="000000" w:themeColor="text1"/>
        </w:rPr>
        <w:t xml:space="preserve"> a</w:t>
      </w:r>
      <w:r w:rsidR="00E34736">
        <w:rPr>
          <w:rFonts w:ascii="Times New Roman" w:hAnsi="Times New Roman" w:cs="Times New Roman"/>
          <w:color w:val="000000" w:themeColor="text1"/>
        </w:rPr>
        <w:t xml:space="preserve"> question that asked whether</w:t>
      </w:r>
      <w:r w:rsidR="00EE470B" w:rsidRPr="00765CB8">
        <w:rPr>
          <w:rFonts w:ascii="Times New Roman" w:hAnsi="Times New Roman" w:cs="Times New Roman"/>
          <w:color w:val="000000" w:themeColor="text1"/>
        </w:rPr>
        <w:t xml:space="preserve"> </w:t>
      </w:r>
      <w:r w:rsidR="008B632F">
        <w:rPr>
          <w:rFonts w:ascii="Times New Roman" w:hAnsi="Times New Roman" w:cs="Times New Roman"/>
          <w:color w:val="000000" w:themeColor="text1"/>
        </w:rPr>
        <w:t>‘</w:t>
      </w:r>
      <w:r w:rsidR="00EE470B" w:rsidRPr="00765CB8">
        <w:rPr>
          <w:rFonts w:ascii="Times New Roman" w:hAnsi="Times New Roman" w:cs="Times New Roman"/>
          <w:color w:val="000000" w:themeColor="text1"/>
        </w:rPr>
        <w:t xml:space="preserve">any </w:t>
      </w:r>
      <w:r w:rsidR="00EE470B" w:rsidRPr="00765CB8">
        <w:rPr>
          <w:rFonts w:ascii="Times New Roman" w:hAnsi="Times New Roman" w:cs="Times New Roman"/>
          <w:color w:val="000000" w:themeColor="text1"/>
        </w:rPr>
        <w:lastRenderedPageBreak/>
        <w:t>aspects of EU Regulation (No 650/2012) on Succession might be usefully implemented in Scots Law?</w:t>
      </w:r>
      <w:r w:rsidR="008B632F">
        <w:rPr>
          <w:rFonts w:ascii="Times New Roman" w:hAnsi="Times New Roman" w:cs="Times New Roman"/>
          <w:color w:val="000000" w:themeColor="text1"/>
        </w:rPr>
        <w:t>’</w:t>
      </w:r>
      <w:r w:rsidR="00EE470B" w:rsidRPr="00765CB8">
        <w:rPr>
          <w:rStyle w:val="FootnoteReference"/>
          <w:rFonts w:ascii="Times New Roman" w:hAnsi="Times New Roman" w:cs="Times New Roman"/>
          <w:color w:val="000000" w:themeColor="text1"/>
        </w:rPr>
        <w:footnoteReference w:id="92"/>
      </w:r>
      <w:r w:rsidR="00913496">
        <w:rPr>
          <w:rFonts w:ascii="Times New Roman" w:hAnsi="Times New Roman" w:cs="Times New Roman"/>
        </w:rPr>
        <w:t xml:space="preserve"> </w:t>
      </w:r>
      <w:r w:rsidR="00EE470B" w:rsidRPr="00765CB8">
        <w:rPr>
          <w:rFonts w:ascii="Times New Roman" w:hAnsi="Times New Roman" w:cs="Times New Roman"/>
        </w:rPr>
        <w:t>Brushing aside the generality of the question, there were a few responses that indicated that there was some support for the abolition of scission. However, there was no consensus as to which law should apply to the whole of the estate.</w:t>
      </w:r>
      <w:r w:rsidR="00EE470B" w:rsidRPr="00765CB8">
        <w:rPr>
          <w:rStyle w:val="FootnoteReference"/>
          <w:rFonts w:ascii="Times New Roman" w:hAnsi="Times New Roman" w:cs="Times New Roman"/>
          <w:color w:val="000000" w:themeColor="text1"/>
        </w:rPr>
        <w:footnoteReference w:id="93"/>
      </w:r>
      <w:r w:rsidR="00EE470B" w:rsidRPr="00765CB8">
        <w:rPr>
          <w:rFonts w:ascii="Times New Roman" w:hAnsi="Times New Roman" w:cs="Times New Roman"/>
        </w:rPr>
        <w:t xml:space="preserve"> The Scottish Government concluded </w:t>
      </w:r>
      <w:r w:rsidRPr="00765CB8">
        <w:rPr>
          <w:rFonts w:ascii="Times New Roman" w:hAnsi="Times New Roman" w:cs="Times New Roman"/>
        </w:rPr>
        <w:t xml:space="preserve">in their analysis of the consultation </w:t>
      </w:r>
      <w:r w:rsidR="00EE470B" w:rsidRPr="00765CB8">
        <w:rPr>
          <w:rFonts w:ascii="Times New Roman" w:hAnsi="Times New Roman" w:cs="Times New Roman"/>
        </w:rPr>
        <w:t xml:space="preserve">that: </w:t>
      </w:r>
      <w:r w:rsidR="00444DEE">
        <w:rPr>
          <w:rFonts w:ascii="Times New Roman" w:hAnsi="Times New Roman" w:cs="Times New Roman"/>
        </w:rPr>
        <w:t>‘</w:t>
      </w:r>
      <w:r w:rsidR="00EE470B" w:rsidRPr="00765CB8">
        <w:rPr>
          <w:rFonts w:ascii="Times New Roman" w:hAnsi="Times New Roman" w:cs="Times New Roman"/>
        </w:rPr>
        <w:t>Given the lack of consensus on what aspects of the (Succession) Regulation might represent improvement to, and provide benefits to individuals over, our (Scots) current law and procedures in this area, and given its complex nature, we will not move to implement any part of the Regulation as part of this body of work</w:t>
      </w:r>
      <w:r w:rsidR="00444DEE">
        <w:rPr>
          <w:rFonts w:ascii="Times New Roman" w:hAnsi="Times New Roman" w:cs="Times New Roman"/>
        </w:rPr>
        <w:t>’</w:t>
      </w:r>
      <w:r w:rsidR="00EE470B" w:rsidRPr="00765CB8">
        <w:rPr>
          <w:rFonts w:ascii="Times New Roman" w:hAnsi="Times New Roman" w:cs="Times New Roman"/>
        </w:rPr>
        <w:t>.</w:t>
      </w:r>
      <w:r w:rsidR="00EE470B" w:rsidRPr="00765CB8">
        <w:rPr>
          <w:rStyle w:val="FootnoteReference"/>
          <w:rFonts w:ascii="Times New Roman" w:hAnsi="Times New Roman" w:cs="Times New Roman"/>
          <w:color w:val="000000" w:themeColor="text1"/>
        </w:rPr>
        <w:footnoteReference w:id="94"/>
      </w:r>
    </w:p>
    <w:p w14:paraId="654236F2" w14:textId="77777777" w:rsidR="00913496" w:rsidRPr="00765CB8" w:rsidRDefault="00913496" w:rsidP="00765CB8">
      <w:pPr>
        <w:jc w:val="both"/>
        <w:rPr>
          <w:rFonts w:ascii="Times New Roman" w:hAnsi="Times New Roman" w:cs="Times New Roman"/>
          <w:color w:val="000000" w:themeColor="text1"/>
        </w:rPr>
      </w:pPr>
    </w:p>
    <w:p w14:paraId="2FECFEAC" w14:textId="685CBEE2" w:rsidR="00E70546" w:rsidRPr="00765CB8" w:rsidRDefault="00EE470B" w:rsidP="00765CB8">
      <w:pPr>
        <w:jc w:val="both"/>
        <w:rPr>
          <w:rFonts w:ascii="Times New Roman" w:hAnsi="Times New Roman" w:cs="Times New Roman"/>
        </w:rPr>
      </w:pPr>
      <w:r w:rsidRPr="00765CB8">
        <w:rPr>
          <w:rFonts w:ascii="Times New Roman" w:hAnsi="Times New Roman" w:cs="Times New Roman"/>
        </w:rPr>
        <w:t xml:space="preserve">From a UK perspective, there </w:t>
      </w:r>
      <w:r w:rsidR="00946793">
        <w:rPr>
          <w:rFonts w:ascii="Times New Roman" w:hAnsi="Times New Roman" w:cs="Times New Roman"/>
        </w:rPr>
        <w:t>was</w:t>
      </w:r>
      <w:r w:rsidRPr="00765CB8">
        <w:rPr>
          <w:rFonts w:ascii="Times New Roman" w:hAnsi="Times New Roman" w:cs="Times New Roman"/>
        </w:rPr>
        <w:t xml:space="preserve"> no opposition </w:t>
      </w:r>
      <w:r w:rsidR="00946793">
        <w:rPr>
          <w:rFonts w:ascii="Times New Roman" w:hAnsi="Times New Roman" w:cs="Times New Roman"/>
        </w:rPr>
        <w:t xml:space="preserve">by the UK Government </w:t>
      </w:r>
      <w:r w:rsidRPr="00765CB8">
        <w:rPr>
          <w:rFonts w:ascii="Times New Roman" w:hAnsi="Times New Roman" w:cs="Times New Roman"/>
        </w:rPr>
        <w:t>to abolishing scission</w:t>
      </w:r>
      <w:r w:rsidR="008800B6">
        <w:rPr>
          <w:rFonts w:ascii="Times New Roman" w:hAnsi="Times New Roman" w:cs="Times New Roman"/>
        </w:rPr>
        <w:t xml:space="preserve"> </w:t>
      </w:r>
      <w:r w:rsidR="00946793">
        <w:rPr>
          <w:rFonts w:ascii="Times New Roman" w:hAnsi="Times New Roman" w:cs="Times New Roman"/>
        </w:rPr>
        <w:t xml:space="preserve">during the EU Succession Regulation negotiations </w:t>
      </w:r>
      <w:r w:rsidRPr="00765CB8">
        <w:rPr>
          <w:rFonts w:ascii="Times New Roman" w:hAnsi="Times New Roman" w:cs="Times New Roman"/>
        </w:rPr>
        <w:t>and replacing it with a single law applicable to the whole of a person’s estate.</w:t>
      </w:r>
      <w:r w:rsidRPr="00765CB8">
        <w:rPr>
          <w:rStyle w:val="FootnoteReference"/>
          <w:rFonts w:ascii="Times New Roman" w:hAnsi="Times New Roman" w:cs="Times New Roman"/>
          <w:color w:val="000000" w:themeColor="text1"/>
        </w:rPr>
        <w:footnoteReference w:id="95"/>
      </w:r>
      <w:r w:rsidRPr="00765CB8">
        <w:rPr>
          <w:rFonts w:ascii="Times New Roman" w:hAnsi="Times New Roman" w:cs="Times New Roman"/>
        </w:rPr>
        <w:t xml:space="preserve"> Although whether the UK has the energy to see this through</w:t>
      </w:r>
      <w:r w:rsidR="00946793">
        <w:rPr>
          <w:rFonts w:ascii="Times New Roman" w:hAnsi="Times New Roman" w:cs="Times New Roman"/>
        </w:rPr>
        <w:t xml:space="preserve"> as domestic law reform</w:t>
      </w:r>
      <w:r w:rsidRPr="00765CB8">
        <w:rPr>
          <w:rFonts w:ascii="Times New Roman" w:hAnsi="Times New Roman" w:cs="Times New Roman"/>
        </w:rPr>
        <w:t xml:space="preserve"> is questionable</w:t>
      </w:r>
      <w:r w:rsidR="00FE0232">
        <w:rPr>
          <w:rFonts w:ascii="Times New Roman" w:hAnsi="Times New Roman" w:cs="Times New Roman"/>
        </w:rPr>
        <w:t xml:space="preserve"> especially </w:t>
      </w:r>
      <w:r w:rsidR="008800B6">
        <w:rPr>
          <w:rFonts w:ascii="Times New Roman" w:hAnsi="Times New Roman" w:cs="Times New Roman"/>
        </w:rPr>
        <w:t>as</w:t>
      </w:r>
      <w:r w:rsidR="00946793">
        <w:rPr>
          <w:rFonts w:ascii="Times New Roman" w:hAnsi="Times New Roman" w:cs="Times New Roman"/>
        </w:rPr>
        <w:t xml:space="preserve"> </w:t>
      </w:r>
      <w:r w:rsidR="0028528A">
        <w:rPr>
          <w:rFonts w:ascii="Times New Roman" w:hAnsi="Times New Roman" w:cs="Times New Roman"/>
        </w:rPr>
        <w:t xml:space="preserve">there is evidence </w:t>
      </w:r>
      <w:r w:rsidR="000D165A">
        <w:rPr>
          <w:rFonts w:ascii="Times New Roman" w:hAnsi="Times New Roman" w:cs="Times New Roman"/>
        </w:rPr>
        <w:t xml:space="preserve">from EU practitioners that adopting this approach is problematic when dealing with third states with </w:t>
      </w:r>
      <w:r w:rsidR="00156C49">
        <w:rPr>
          <w:rFonts w:ascii="Times New Roman" w:hAnsi="Times New Roman" w:cs="Times New Roman"/>
        </w:rPr>
        <w:t xml:space="preserve">a system of </w:t>
      </w:r>
      <w:r w:rsidR="000D165A">
        <w:rPr>
          <w:rFonts w:ascii="Times New Roman" w:hAnsi="Times New Roman" w:cs="Times New Roman"/>
        </w:rPr>
        <w:t>scission</w:t>
      </w:r>
      <w:r w:rsidRPr="00765CB8">
        <w:rPr>
          <w:rFonts w:ascii="Times New Roman" w:hAnsi="Times New Roman" w:cs="Times New Roman"/>
        </w:rPr>
        <w:t>.</w:t>
      </w:r>
      <w:r w:rsidR="000D165A">
        <w:rPr>
          <w:rStyle w:val="FootnoteReference"/>
          <w:rFonts w:ascii="Times New Roman" w:hAnsi="Times New Roman" w:cs="Times New Roman"/>
        </w:rPr>
        <w:footnoteReference w:id="96"/>
      </w:r>
      <w:r w:rsidRPr="00765CB8">
        <w:rPr>
          <w:rFonts w:ascii="Times New Roman" w:hAnsi="Times New Roman" w:cs="Times New Roman"/>
        </w:rPr>
        <w:t xml:space="preserve"> It is said that the UK approach that treats moveable and immoveable property differently is a</w:t>
      </w:r>
      <w:r w:rsidR="008800B6">
        <w:rPr>
          <w:rFonts w:ascii="Times New Roman" w:hAnsi="Times New Roman" w:cs="Times New Roman"/>
        </w:rPr>
        <w:t>n</w:t>
      </w:r>
      <w:r w:rsidRPr="00765CB8">
        <w:rPr>
          <w:rFonts w:ascii="Times New Roman" w:hAnsi="Times New Roman" w:cs="Times New Roman"/>
        </w:rPr>
        <w:t xml:space="preserve"> ‘historical anomaly’.</w:t>
      </w:r>
      <w:r w:rsidRPr="00765CB8">
        <w:rPr>
          <w:rStyle w:val="FootnoteReference"/>
          <w:rFonts w:ascii="Times New Roman" w:hAnsi="Times New Roman" w:cs="Times New Roman"/>
          <w:color w:val="000000" w:themeColor="text1"/>
        </w:rPr>
        <w:footnoteReference w:id="97"/>
      </w:r>
      <w:r w:rsidR="000D165A">
        <w:rPr>
          <w:rFonts w:ascii="Times New Roman" w:hAnsi="Times New Roman" w:cs="Times New Roman"/>
        </w:rPr>
        <w:t xml:space="preserve"> However</w:t>
      </w:r>
      <w:r w:rsidR="00156C49">
        <w:rPr>
          <w:rFonts w:ascii="Times New Roman" w:hAnsi="Times New Roman" w:cs="Times New Roman"/>
        </w:rPr>
        <w:t xml:space="preserve">, the application of the </w:t>
      </w:r>
      <w:r w:rsidR="00156C49" w:rsidRPr="00B53A62">
        <w:rPr>
          <w:rFonts w:ascii="Times New Roman" w:hAnsi="Times New Roman" w:cs="Times New Roman"/>
          <w:i/>
          <w:iCs/>
        </w:rPr>
        <w:t>lex situs</w:t>
      </w:r>
      <w:r w:rsidR="00156C49">
        <w:rPr>
          <w:rFonts w:ascii="Times New Roman" w:hAnsi="Times New Roman" w:cs="Times New Roman"/>
          <w:i/>
          <w:iCs/>
        </w:rPr>
        <w:t xml:space="preserve"> </w:t>
      </w:r>
      <w:r w:rsidR="00156C49">
        <w:rPr>
          <w:rFonts w:ascii="Times New Roman" w:hAnsi="Times New Roman" w:cs="Times New Roman"/>
        </w:rPr>
        <w:t xml:space="preserve">to immoveable property is inherently pragmatic as it </w:t>
      </w:r>
      <w:r w:rsidR="00946793">
        <w:rPr>
          <w:rFonts w:ascii="Times New Roman" w:hAnsi="Times New Roman" w:cs="Times New Roman"/>
        </w:rPr>
        <w:t>‘</w:t>
      </w:r>
      <w:r w:rsidR="00156C49">
        <w:rPr>
          <w:rFonts w:ascii="Times New Roman" w:hAnsi="Times New Roman" w:cs="Times New Roman"/>
        </w:rPr>
        <w:t>respects the close relationship between the law where the property is sited and the transfer of property, preventing unenforceable titles</w:t>
      </w:r>
      <w:r w:rsidR="00946793">
        <w:rPr>
          <w:rFonts w:ascii="Times New Roman" w:hAnsi="Times New Roman" w:cs="Times New Roman"/>
        </w:rPr>
        <w:t>’</w:t>
      </w:r>
      <w:r w:rsidR="00E97E19">
        <w:rPr>
          <w:rFonts w:ascii="Times New Roman" w:hAnsi="Times New Roman" w:cs="Times New Roman"/>
        </w:rPr>
        <w:t>,</w:t>
      </w:r>
      <w:r w:rsidR="00156C49">
        <w:rPr>
          <w:rFonts w:ascii="Times New Roman" w:hAnsi="Times New Roman" w:cs="Times New Roman"/>
        </w:rPr>
        <w:t xml:space="preserve"> an important factor when dealing with transfer of property for succession.</w:t>
      </w:r>
      <w:r w:rsidR="00156C49">
        <w:rPr>
          <w:rStyle w:val="FootnoteReference"/>
          <w:rFonts w:ascii="Times New Roman" w:hAnsi="Times New Roman" w:cs="Times New Roman"/>
        </w:rPr>
        <w:footnoteReference w:id="98"/>
      </w:r>
    </w:p>
    <w:p w14:paraId="31F2E666" w14:textId="77777777" w:rsidR="00E70546" w:rsidRPr="00765CB8" w:rsidRDefault="00E70546" w:rsidP="00765CB8">
      <w:pPr>
        <w:jc w:val="both"/>
        <w:rPr>
          <w:rFonts w:ascii="Times New Roman" w:hAnsi="Times New Roman" w:cs="Times New Roman"/>
        </w:rPr>
      </w:pPr>
    </w:p>
    <w:p w14:paraId="4E7DAFB2" w14:textId="4913D4CB" w:rsidR="00E70546" w:rsidRPr="008A6670" w:rsidRDefault="008A6670" w:rsidP="00765CB8">
      <w:pPr>
        <w:jc w:val="both"/>
        <w:rPr>
          <w:rFonts w:ascii="Times New Roman" w:hAnsi="Times New Roman" w:cs="Times New Roman"/>
          <w:b/>
        </w:rPr>
      </w:pPr>
      <w:r w:rsidRPr="008A6670">
        <w:rPr>
          <w:rFonts w:ascii="Times New Roman" w:hAnsi="Times New Roman" w:cs="Times New Roman"/>
          <w:b/>
        </w:rPr>
        <w:t xml:space="preserve">B. </w:t>
      </w:r>
      <w:r w:rsidR="00E70546" w:rsidRPr="008A6670">
        <w:rPr>
          <w:rFonts w:ascii="Times New Roman" w:hAnsi="Times New Roman" w:cs="Times New Roman"/>
          <w:b/>
        </w:rPr>
        <w:t xml:space="preserve">Succession (Scotland) </w:t>
      </w:r>
      <w:r w:rsidR="00A26628">
        <w:rPr>
          <w:rFonts w:ascii="Times New Roman" w:hAnsi="Times New Roman" w:cs="Times New Roman"/>
          <w:b/>
        </w:rPr>
        <w:t>Act 2016</w:t>
      </w:r>
    </w:p>
    <w:p w14:paraId="46CA14EF" w14:textId="77777777" w:rsidR="00E70546" w:rsidRPr="00765CB8" w:rsidRDefault="00E70546" w:rsidP="00765CB8">
      <w:pPr>
        <w:jc w:val="both"/>
        <w:rPr>
          <w:rFonts w:ascii="Times New Roman" w:hAnsi="Times New Roman" w:cs="Times New Roman"/>
        </w:rPr>
      </w:pPr>
    </w:p>
    <w:p w14:paraId="5191E36C" w14:textId="18CF18A2" w:rsidR="00BD19D8" w:rsidRPr="00BD19D8" w:rsidRDefault="00D41278" w:rsidP="00765CB8">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 Succession (Scotland) Act 2016 of the Scottish Parliament </w:t>
      </w:r>
      <w:r w:rsidR="009418A2" w:rsidRPr="00765CB8">
        <w:rPr>
          <w:rFonts w:ascii="Times New Roman" w:hAnsi="Times New Roman" w:cs="Times New Roman"/>
          <w:color w:val="000000" w:themeColor="text1"/>
        </w:rPr>
        <w:t>modernise</w:t>
      </w:r>
      <w:r>
        <w:rPr>
          <w:rFonts w:ascii="Times New Roman" w:hAnsi="Times New Roman" w:cs="Times New Roman"/>
          <w:color w:val="000000" w:themeColor="text1"/>
        </w:rPr>
        <w:t>d</w:t>
      </w:r>
      <w:r w:rsidR="009418A2" w:rsidRPr="00765CB8">
        <w:rPr>
          <w:rFonts w:ascii="Times New Roman" w:hAnsi="Times New Roman" w:cs="Times New Roman"/>
          <w:color w:val="000000" w:themeColor="text1"/>
        </w:rPr>
        <w:t xml:space="preserve"> and clarif</w:t>
      </w:r>
      <w:r>
        <w:rPr>
          <w:rFonts w:ascii="Times New Roman" w:hAnsi="Times New Roman" w:cs="Times New Roman"/>
          <w:color w:val="000000" w:themeColor="text1"/>
        </w:rPr>
        <w:t>ied some</w:t>
      </w:r>
      <w:r w:rsidR="00381024" w:rsidRPr="00765CB8">
        <w:rPr>
          <w:rFonts w:ascii="Times New Roman" w:hAnsi="Times New Roman" w:cs="Times New Roman"/>
          <w:color w:val="000000" w:themeColor="text1"/>
        </w:rPr>
        <w:t xml:space="preserve"> </w:t>
      </w:r>
      <w:r w:rsidR="009418A2" w:rsidRPr="00765CB8">
        <w:rPr>
          <w:rFonts w:ascii="Times New Roman" w:hAnsi="Times New Roman" w:cs="Times New Roman"/>
          <w:color w:val="000000" w:themeColor="text1"/>
        </w:rPr>
        <w:t>technical</w:t>
      </w:r>
      <w:r w:rsidR="00381024" w:rsidRPr="00765CB8">
        <w:rPr>
          <w:rFonts w:ascii="Times New Roman" w:hAnsi="Times New Roman" w:cs="Times New Roman"/>
          <w:color w:val="000000" w:themeColor="text1"/>
        </w:rPr>
        <w:t xml:space="preserve"> aspects of </w:t>
      </w:r>
      <w:r w:rsidR="009418A2" w:rsidRPr="00765CB8">
        <w:rPr>
          <w:rFonts w:ascii="Times New Roman" w:hAnsi="Times New Roman" w:cs="Times New Roman"/>
          <w:color w:val="000000" w:themeColor="text1"/>
        </w:rPr>
        <w:t xml:space="preserve">the </w:t>
      </w:r>
      <w:r w:rsidR="00381024" w:rsidRPr="00765CB8">
        <w:rPr>
          <w:rFonts w:ascii="Times New Roman" w:hAnsi="Times New Roman" w:cs="Times New Roman"/>
          <w:color w:val="000000" w:themeColor="text1"/>
        </w:rPr>
        <w:t>law of succession in Scotland</w:t>
      </w:r>
      <w:r w:rsidR="002D005E" w:rsidRPr="00765CB8">
        <w:rPr>
          <w:rFonts w:ascii="Times New Roman" w:hAnsi="Times New Roman" w:cs="Times New Roman"/>
          <w:color w:val="000000" w:themeColor="text1"/>
        </w:rPr>
        <w:t>, covering:</w:t>
      </w:r>
      <w:r w:rsidR="00381024" w:rsidRPr="00765CB8">
        <w:rPr>
          <w:rStyle w:val="FootnoteReference"/>
          <w:rFonts w:ascii="Times New Roman" w:hAnsi="Times New Roman" w:cs="Times New Roman"/>
          <w:color w:val="000000" w:themeColor="text1"/>
        </w:rPr>
        <w:footnoteReference w:id="99"/>
      </w:r>
    </w:p>
    <w:p w14:paraId="64CE94D4" w14:textId="77777777" w:rsidR="002D005E" w:rsidRPr="00765CB8" w:rsidRDefault="002D005E" w:rsidP="00765CB8">
      <w:pPr>
        <w:jc w:val="both"/>
        <w:rPr>
          <w:rFonts w:ascii="Times New Roman" w:hAnsi="Times New Roman" w:cs="Times New Roman"/>
          <w:color w:val="000000" w:themeColor="text1"/>
        </w:rPr>
      </w:pPr>
    </w:p>
    <w:p w14:paraId="643066C0" w14:textId="77777777" w:rsidR="002D005E" w:rsidRPr="00765CB8" w:rsidRDefault="002D005E" w:rsidP="00765CB8">
      <w:pPr>
        <w:pStyle w:val="ListParagraph"/>
        <w:numPr>
          <w:ilvl w:val="0"/>
          <w:numId w:val="12"/>
        </w:numPr>
        <w:ind w:left="0" w:firstLine="0"/>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testamentary documents and special destinations - this includes reforms which relate to the rectification of wills; the effect of divorce, dissolution or annulment on a will or special destination; and the revival of a revoked </w:t>
      </w:r>
      <w:proofErr w:type="gramStart"/>
      <w:r w:rsidRPr="00765CB8">
        <w:rPr>
          <w:rFonts w:ascii="Times New Roman" w:hAnsi="Times New Roman" w:cs="Times New Roman"/>
          <w:color w:val="000000" w:themeColor="text1"/>
        </w:rPr>
        <w:t>will;</w:t>
      </w:r>
      <w:proofErr w:type="gramEnd"/>
    </w:p>
    <w:p w14:paraId="2FE2B682" w14:textId="77777777" w:rsidR="002D005E" w:rsidRPr="00765CB8" w:rsidRDefault="002D005E" w:rsidP="00765CB8">
      <w:pPr>
        <w:pStyle w:val="ListParagraph"/>
        <w:numPr>
          <w:ilvl w:val="0"/>
          <w:numId w:val="12"/>
        </w:numPr>
        <w:ind w:left="0" w:firstLine="0"/>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survivorship – the provision of new rules where there is uncertainty about the order of </w:t>
      </w:r>
      <w:proofErr w:type="gramStart"/>
      <w:r w:rsidRPr="00765CB8">
        <w:rPr>
          <w:rFonts w:ascii="Times New Roman" w:hAnsi="Times New Roman" w:cs="Times New Roman"/>
          <w:color w:val="000000" w:themeColor="text1"/>
        </w:rPr>
        <w:t>death;</w:t>
      </w:r>
      <w:proofErr w:type="gramEnd"/>
    </w:p>
    <w:p w14:paraId="27805C24" w14:textId="77777777" w:rsidR="002D005E" w:rsidRPr="00765CB8" w:rsidRDefault="002D005E" w:rsidP="00765CB8">
      <w:pPr>
        <w:pStyle w:val="ListParagraph"/>
        <w:numPr>
          <w:ilvl w:val="0"/>
          <w:numId w:val="12"/>
        </w:numPr>
        <w:ind w:left="0" w:firstLine="0"/>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forfeiture – updating the rules in respect of </w:t>
      </w:r>
      <w:proofErr w:type="gramStart"/>
      <w:r w:rsidRPr="00765CB8">
        <w:rPr>
          <w:rFonts w:ascii="Times New Roman" w:hAnsi="Times New Roman" w:cs="Times New Roman"/>
          <w:color w:val="000000" w:themeColor="text1"/>
        </w:rPr>
        <w:t>forfeiture;</w:t>
      </w:r>
      <w:proofErr w:type="gramEnd"/>
    </w:p>
    <w:p w14:paraId="025B8C6D" w14:textId="77777777" w:rsidR="002D005E" w:rsidRPr="00765CB8" w:rsidRDefault="0043051E" w:rsidP="00765CB8">
      <w:pPr>
        <w:pStyle w:val="ListParagraph"/>
        <w:numPr>
          <w:ilvl w:val="0"/>
          <w:numId w:val="12"/>
        </w:numPr>
        <w:ind w:left="0" w:firstLine="0"/>
        <w:jc w:val="both"/>
        <w:rPr>
          <w:rFonts w:ascii="Times New Roman" w:hAnsi="Times New Roman" w:cs="Times New Roman"/>
          <w:color w:val="000000" w:themeColor="text1"/>
        </w:rPr>
      </w:pPr>
      <w:r w:rsidRPr="00765CB8">
        <w:rPr>
          <w:rFonts w:ascii="Times New Roman" w:hAnsi="Times New Roman" w:cs="Times New Roman"/>
          <w:color w:val="000000" w:themeColor="text1"/>
        </w:rPr>
        <w:t>estate a</w:t>
      </w:r>
      <w:r w:rsidR="002D005E" w:rsidRPr="00765CB8">
        <w:rPr>
          <w:rFonts w:ascii="Times New Roman" w:hAnsi="Times New Roman" w:cs="Times New Roman"/>
          <w:color w:val="000000" w:themeColor="text1"/>
        </w:rPr>
        <w:t xml:space="preserve">dministration – putting in place protections for trustees and executors in certain circumstances and for persons acquiring title in good </w:t>
      </w:r>
      <w:proofErr w:type="gramStart"/>
      <w:r w:rsidR="002D005E" w:rsidRPr="00765CB8">
        <w:rPr>
          <w:rFonts w:ascii="Times New Roman" w:hAnsi="Times New Roman" w:cs="Times New Roman"/>
          <w:color w:val="000000" w:themeColor="text1"/>
        </w:rPr>
        <w:t>faith;</w:t>
      </w:r>
      <w:proofErr w:type="gramEnd"/>
    </w:p>
    <w:p w14:paraId="0D26DFAF" w14:textId="5BF0B7CC" w:rsidR="002D005E" w:rsidRPr="00765CB8" w:rsidRDefault="002D005E" w:rsidP="00765CB8">
      <w:pPr>
        <w:pStyle w:val="ListParagraph"/>
        <w:numPr>
          <w:ilvl w:val="0"/>
          <w:numId w:val="12"/>
        </w:numPr>
        <w:ind w:left="0" w:firstLine="0"/>
        <w:jc w:val="both"/>
        <w:rPr>
          <w:rFonts w:ascii="Times New Roman" w:hAnsi="Times New Roman" w:cs="Times New Roman"/>
          <w:color w:val="000000" w:themeColor="text1"/>
        </w:rPr>
      </w:pPr>
      <w:r w:rsidRPr="00765CB8">
        <w:rPr>
          <w:rFonts w:ascii="Times New Roman" w:hAnsi="Times New Roman" w:cs="Times New Roman"/>
          <w:color w:val="000000" w:themeColor="text1"/>
        </w:rPr>
        <w:t>other reforms – abolishing donations mortis causa and the right to claim the expense of mourning; and introducing a new ground of jurisdiction for executors confirmed in Scotland.</w:t>
      </w:r>
      <w:r w:rsidRPr="00765CB8">
        <w:rPr>
          <w:rStyle w:val="FootnoteReference"/>
          <w:rFonts w:ascii="Times New Roman" w:hAnsi="Times New Roman" w:cs="Times New Roman"/>
          <w:color w:val="000000" w:themeColor="text1"/>
        </w:rPr>
        <w:footnoteReference w:id="100"/>
      </w:r>
    </w:p>
    <w:p w14:paraId="275FE4E4" w14:textId="77777777" w:rsidR="002E283F" w:rsidRPr="00765CB8" w:rsidRDefault="002E283F" w:rsidP="00765CB8">
      <w:pPr>
        <w:jc w:val="both"/>
        <w:rPr>
          <w:rFonts w:ascii="Times New Roman" w:hAnsi="Times New Roman" w:cs="Times New Roman"/>
          <w:color w:val="000000" w:themeColor="text1"/>
        </w:rPr>
      </w:pPr>
    </w:p>
    <w:p w14:paraId="24DCBEA9" w14:textId="3FF31B37" w:rsidR="00F27AA8" w:rsidRPr="00765CB8" w:rsidRDefault="00E70546"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Of note is that t</w:t>
      </w:r>
      <w:r w:rsidR="009418A2" w:rsidRPr="00765CB8">
        <w:rPr>
          <w:rFonts w:ascii="Times New Roman" w:hAnsi="Times New Roman" w:cs="Times New Roman"/>
          <w:color w:val="000000" w:themeColor="text1"/>
        </w:rPr>
        <w:t xml:space="preserve">he </w:t>
      </w:r>
      <w:r w:rsidR="00D41278">
        <w:rPr>
          <w:rFonts w:ascii="Times New Roman" w:hAnsi="Times New Roman" w:cs="Times New Roman"/>
          <w:color w:val="000000" w:themeColor="text1"/>
        </w:rPr>
        <w:t>Act</w:t>
      </w:r>
      <w:r w:rsidR="00F27AA8" w:rsidRPr="00765CB8">
        <w:rPr>
          <w:rFonts w:ascii="Times New Roman" w:hAnsi="Times New Roman" w:cs="Times New Roman"/>
          <w:color w:val="000000" w:themeColor="text1"/>
        </w:rPr>
        <w:t xml:space="preserve"> close</w:t>
      </w:r>
      <w:r w:rsidR="00D41278">
        <w:rPr>
          <w:rFonts w:ascii="Times New Roman" w:hAnsi="Times New Roman" w:cs="Times New Roman"/>
          <w:color w:val="000000" w:themeColor="text1"/>
        </w:rPr>
        <w:t>d</w:t>
      </w:r>
      <w:r w:rsidR="00F27AA8" w:rsidRPr="00765CB8">
        <w:rPr>
          <w:rFonts w:ascii="Times New Roman" w:hAnsi="Times New Roman" w:cs="Times New Roman"/>
          <w:color w:val="000000" w:themeColor="text1"/>
        </w:rPr>
        <w:t xml:space="preserve"> </w:t>
      </w:r>
      <w:r w:rsidR="009418A2" w:rsidRPr="00765CB8">
        <w:rPr>
          <w:rFonts w:ascii="Times New Roman" w:hAnsi="Times New Roman" w:cs="Times New Roman"/>
          <w:color w:val="000000" w:themeColor="text1"/>
        </w:rPr>
        <w:t>a jurisdictional gap</w:t>
      </w:r>
      <w:r w:rsidR="00F27AA8" w:rsidRPr="00765CB8">
        <w:rPr>
          <w:rFonts w:ascii="Times New Roman" w:hAnsi="Times New Roman" w:cs="Times New Roman"/>
          <w:color w:val="000000" w:themeColor="text1"/>
        </w:rPr>
        <w:t xml:space="preserve"> to ensure that Scottish </w:t>
      </w:r>
      <w:r w:rsidR="00BE7711">
        <w:rPr>
          <w:rFonts w:ascii="Times New Roman" w:hAnsi="Times New Roman" w:cs="Times New Roman"/>
          <w:color w:val="000000" w:themeColor="text1"/>
        </w:rPr>
        <w:t>c</w:t>
      </w:r>
      <w:r w:rsidR="00F27AA8" w:rsidRPr="00765CB8">
        <w:rPr>
          <w:rFonts w:ascii="Times New Roman" w:hAnsi="Times New Roman" w:cs="Times New Roman"/>
          <w:color w:val="000000" w:themeColor="text1"/>
        </w:rPr>
        <w:t>ourt</w:t>
      </w:r>
      <w:r w:rsidR="0043051E" w:rsidRPr="00765CB8">
        <w:rPr>
          <w:rFonts w:ascii="Times New Roman" w:hAnsi="Times New Roman" w:cs="Times New Roman"/>
          <w:color w:val="000000" w:themeColor="text1"/>
        </w:rPr>
        <w:t>s have jurisdiction when Scots l</w:t>
      </w:r>
      <w:r w:rsidR="00F27AA8" w:rsidRPr="00765CB8">
        <w:rPr>
          <w:rFonts w:ascii="Times New Roman" w:hAnsi="Times New Roman" w:cs="Times New Roman"/>
          <w:color w:val="000000" w:themeColor="text1"/>
        </w:rPr>
        <w:t>aw applies</w:t>
      </w:r>
      <w:r w:rsidR="009418A2" w:rsidRPr="00765CB8">
        <w:rPr>
          <w:rFonts w:ascii="Times New Roman" w:hAnsi="Times New Roman" w:cs="Times New Roman"/>
          <w:color w:val="000000" w:themeColor="text1"/>
        </w:rPr>
        <w:t xml:space="preserve"> </w:t>
      </w:r>
      <w:r w:rsidR="0043051E" w:rsidRPr="00765CB8">
        <w:rPr>
          <w:rFonts w:ascii="Times New Roman" w:hAnsi="Times New Roman" w:cs="Times New Roman"/>
          <w:color w:val="000000" w:themeColor="text1"/>
        </w:rPr>
        <w:t xml:space="preserve">to succession </w:t>
      </w:r>
      <w:r w:rsidR="009418A2" w:rsidRPr="00765CB8">
        <w:rPr>
          <w:rFonts w:ascii="Times New Roman" w:hAnsi="Times New Roman" w:cs="Times New Roman"/>
          <w:color w:val="000000" w:themeColor="text1"/>
        </w:rPr>
        <w:t xml:space="preserve">by introducing </w:t>
      </w:r>
      <w:r w:rsidR="0061617D">
        <w:rPr>
          <w:rFonts w:ascii="Times New Roman" w:hAnsi="Times New Roman" w:cs="Times New Roman"/>
          <w:color w:val="000000" w:themeColor="text1"/>
        </w:rPr>
        <w:t xml:space="preserve">through section 27 </w:t>
      </w:r>
      <w:r w:rsidR="009418A2" w:rsidRPr="00765CB8">
        <w:rPr>
          <w:rFonts w:ascii="Times New Roman" w:hAnsi="Times New Roman" w:cs="Times New Roman"/>
          <w:color w:val="000000" w:themeColor="text1"/>
        </w:rPr>
        <w:t>a new ground of jurisdiction for executors confirmed in Scotland.</w:t>
      </w:r>
      <w:r w:rsidR="009418A2" w:rsidRPr="00765CB8">
        <w:rPr>
          <w:rStyle w:val="FootnoteReference"/>
          <w:rFonts w:ascii="Times New Roman" w:hAnsi="Times New Roman" w:cs="Times New Roman"/>
          <w:color w:val="000000" w:themeColor="text1"/>
        </w:rPr>
        <w:footnoteReference w:id="101"/>
      </w:r>
    </w:p>
    <w:p w14:paraId="438B1AB2" w14:textId="77777777" w:rsidR="003E6B8C" w:rsidRPr="00765CB8" w:rsidRDefault="003E6B8C" w:rsidP="00765CB8">
      <w:pPr>
        <w:jc w:val="both"/>
        <w:rPr>
          <w:rFonts w:ascii="Times New Roman" w:hAnsi="Times New Roman" w:cs="Times New Roman"/>
          <w:color w:val="000000" w:themeColor="text1"/>
        </w:rPr>
      </w:pPr>
    </w:p>
    <w:p w14:paraId="31187A46" w14:textId="7499123B" w:rsidR="0061617D" w:rsidRPr="00765CB8" w:rsidRDefault="0061617D" w:rsidP="00765CB8">
      <w:pPr>
        <w:jc w:val="both"/>
        <w:rPr>
          <w:rFonts w:ascii="Times New Roman" w:hAnsi="Times New Roman" w:cs="Times New Roman"/>
          <w:color w:val="000000" w:themeColor="text1"/>
        </w:rPr>
      </w:pPr>
      <w:r>
        <w:rPr>
          <w:rFonts w:ascii="Times New Roman" w:hAnsi="Times New Roman" w:cs="Times New Roman"/>
          <w:color w:val="000000" w:themeColor="text1"/>
        </w:rPr>
        <w:t>The relevant explanatory notes to the Succession (Scotland) Act 2016 say:</w:t>
      </w:r>
    </w:p>
    <w:p w14:paraId="75A29BD3" w14:textId="77777777" w:rsidR="002E283F" w:rsidRPr="00765CB8" w:rsidRDefault="002E283F" w:rsidP="00765CB8">
      <w:pPr>
        <w:jc w:val="both"/>
        <w:rPr>
          <w:rFonts w:ascii="Times New Roman" w:hAnsi="Times New Roman" w:cs="Times New Roman"/>
          <w:color w:val="000000" w:themeColor="text1"/>
        </w:rPr>
      </w:pPr>
    </w:p>
    <w:p w14:paraId="7A40F14C" w14:textId="2F5D6A2E" w:rsidR="003E6B8C" w:rsidRPr="00765CB8" w:rsidRDefault="0061617D" w:rsidP="00BD19D8">
      <w:pPr>
        <w:ind w:left="630" w:right="560"/>
        <w:jc w:val="both"/>
        <w:rPr>
          <w:rFonts w:ascii="Times New Roman" w:hAnsi="Times New Roman" w:cs="Times New Roman"/>
          <w:color w:val="000000" w:themeColor="text1"/>
        </w:rPr>
      </w:pPr>
      <w:r>
        <w:rPr>
          <w:rFonts w:ascii="Times New Roman" w:hAnsi="Times New Roman" w:cs="Times New Roman"/>
          <w:color w:val="000000" w:themeColor="text1"/>
        </w:rPr>
        <w:t>78</w:t>
      </w:r>
      <w:r w:rsidR="003E6B8C" w:rsidRPr="00765CB8">
        <w:rPr>
          <w:rFonts w:ascii="Times New Roman" w:hAnsi="Times New Roman" w:cs="Times New Roman"/>
          <w:color w:val="000000" w:themeColor="text1"/>
        </w:rPr>
        <w:t>. As a matter of principle the Scottish courts should have jurisdiction whenever Scots law is the applicable law to the succession issue in question. At present there is a jurisd</w:t>
      </w:r>
      <w:r w:rsidR="0043051E" w:rsidRPr="00765CB8">
        <w:rPr>
          <w:rFonts w:ascii="Times New Roman" w:hAnsi="Times New Roman" w:cs="Times New Roman"/>
          <w:color w:val="000000" w:themeColor="text1"/>
        </w:rPr>
        <w:t>ictional gap where the deceased’</w:t>
      </w:r>
      <w:r w:rsidR="003E6B8C" w:rsidRPr="00765CB8">
        <w:rPr>
          <w:rFonts w:ascii="Times New Roman" w:hAnsi="Times New Roman" w:cs="Times New Roman"/>
          <w:color w:val="000000" w:themeColor="text1"/>
        </w:rPr>
        <w:t>s executor is not domiciled in Scotland. Unless the will creates an express trust it may be that none of the provisions in Schedule 8 of the</w:t>
      </w:r>
      <w:r w:rsidR="0043051E" w:rsidRPr="00765CB8">
        <w:rPr>
          <w:rFonts w:ascii="Times New Roman" w:hAnsi="Times New Roman" w:cs="Times New Roman"/>
          <w:color w:val="000000" w:themeColor="text1"/>
        </w:rPr>
        <w:t xml:space="preserve"> Civil Jurisdiction and Judg</w:t>
      </w:r>
      <w:r w:rsidR="003E6B8C" w:rsidRPr="00765CB8">
        <w:rPr>
          <w:rFonts w:ascii="Times New Roman" w:hAnsi="Times New Roman" w:cs="Times New Roman"/>
          <w:color w:val="000000" w:themeColor="text1"/>
        </w:rPr>
        <w:t>ments Act 1982 which deals with the jurisdiction of the Scottish courts will apply. As a result, those raising actions against executors in connection with the administration of a Scottish estate may have to do so in the courts of the country in which the executors are domiciled.</w:t>
      </w:r>
    </w:p>
    <w:p w14:paraId="2875F65C" w14:textId="77777777" w:rsidR="002E283F" w:rsidRPr="00765CB8" w:rsidRDefault="002E283F" w:rsidP="00BD19D8">
      <w:pPr>
        <w:ind w:left="630" w:right="560"/>
        <w:jc w:val="both"/>
        <w:rPr>
          <w:rFonts w:ascii="Times New Roman" w:hAnsi="Times New Roman" w:cs="Times New Roman"/>
          <w:color w:val="000000" w:themeColor="text1"/>
        </w:rPr>
      </w:pPr>
    </w:p>
    <w:p w14:paraId="5078E3BD" w14:textId="2DBF2D38" w:rsidR="003E6B8C" w:rsidRPr="00765CB8" w:rsidRDefault="0061617D" w:rsidP="00BD19D8">
      <w:pPr>
        <w:ind w:left="630" w:right="560"/>
        <w:jc w:val="both"/>
        <w:rPr>
          <w:rFonts w:ascii="Times New Roman" w:hAnsi="Times New Roman" w:cs="Times New Roman"/>
          <w:color w:val="000000" w:themeColor="text1"/>
        </w:rPr>
      </w:pPr>
      <w:r>
        <w:rPr>
          <w:rFonts w:ascii="Times New Roman" w:hAnsi="Times New Roman" w:cs="Times New Roman"/>
          <w:color w:val="000000" w:themeColor="text1"/>
        </w:rPr>
        <w:t>79</w:t>
      </w:r>
      <w:r w:rsidR="003E6B8C" w:rsidRPr="00765CB8">
        <w:rPr>
          <w:rFonts w:ascii="Times New Roman" w:hAnsi="Times New Roman" w:cs="Times New Roman"/>
          <w:color w:val="000000" w:themeColor="text1"/>
        </w:rPr>
        <w:t xml:space="preserve">. This section amends rule 2 of Schedule 8 of the Civil Jurisdiction and Judgments Act 1982 so that a person wishing to raise an action in respect of the administration of a Scottish estate by an executor who is not domiciled in Scotland may do so in the Scottish courts if the executor obtained the legal documentation necessary to authorise the making and receiving of payments on the estate known as confirmation, in Scotland. </w:t>
      </w:r>
      <w:r w:rsidR="00214DEE" w:rsidRPr="00765CB8">
        <w:rPr>
          <w:rFonts w:ascii="Times New Roman" w:hAnsi="Times New Roman" w:cs="Times New Roman"/>
          <w:color w:val="000000" w:themeColor="text1"/>
        </w:rPr>
        <w:t>‘</w:t>
      </w:r>
      <w:r w:rsidR="007403CE">
        <w:rPr>
          <w:rFonts w:ascii="Times New Roman" w:hAnsi="Times New Roman" w:cs="Times New Roman"/>
          <w:color w:val="000000" w:themeColor="text1"/>
        </w:rPr>
        <w:t>Confirmation’</w:t>
      </w:r>
      <w:r w:rsidR="003E6B8C" w:rsidRPr="00765CB8">
        <w:rPr>
          <w:rFonts w:ascii="Times New Roman" w:hAnsi="Times New Roman" w:cs="Times New Roman"/>
          <w:color w:val="000000" w:themeColor="text1"/>
        </w:rPr>
        <w:t xml:space="preserve"> is a legal document from the court giving the executor(s) authority to uplift any money or other property belonging to a deceased person from the holder (such as the bank), and to administer and distribute it according to law.</w:t>
      </w:r>
      <w:r w:rsidR="003E6B8C" w:rsidRPr="00765CB8">
        <w:rPr>
          <w:rStyle w:val="FootnoteReference"/>
          <w:rFonts w:ascii="Times New Roman" w:hAnsi="Times New Roman" w:cs="Times New Roman"/>
          <w:color w:val="000000" w:themeColor="text1"/>
        </w:rPr>
        <w:footnoteReference w:id="102"/>
      </w:r>
    </w:p>
    <w:p w14:paraId="48C5ABF7" w14:textId="77777777" w:rsidR="002E283F" w:rsidRPr="00765CB8" w:rsidRDefault="002E283F" w:rsidP="00765CB8">
      <w:pPr>
        <w:jc w:val="both"/>
        <w:rPr>
          <w:rFonts w:ascii="Times New Roman" w:hAnsi="Times New Roman" w:cs="Times New Roman"/>
          <w:color w:val="000000" w:themeColor="text1"/>
        </w:rPr>
      </w:pPr>
    </w:p>
    <w:p w14:paraId="6263088E" w14:textId="13179B43" w:rsidR="00702ADA" w:rsidRDefault="00241EE2"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However</w:t>
      </w:r>
      <w:r w:rsidR="0061617D">
        <w:rPr>
          <w:rFonts w:ascii="Times New Roman" w:hAnsi="Times New Roman" w:cs="Times New Roman"/>
          <w:color w:val="000000" w:themeColor="text1"/>
        </w:rPr>
        <w:t>,</w:t>
      </w:r>
      <w:r w:rsidRPr="00765CB8">
        <w:rPr>
          <w:rFonts w:ascii="Times New Roman" w:hAnsi="Times New Roman" w:cs="Times New Roman"/>
          <w:color w:val="000000" w:themeColor="text1"/>
        </w:rPr>
        <w:t xml:space="preserve"> this reform still leaves some jurisdictional gaps that were recommended to be filled by the Scottish Law Commission.</w:t>
      </w:r>
      <w:r w:rsidRPr="00765CB8">
        <w:rPr>
          <w:rStyle w:val="FootnoteReference"/>
          <w:rFonts w:ascii="Times New Roman" w:hAnsi="Times New Roman" w:cs="Times New Roman"/>
          <w:color w:val="000000" w:themeColor="text1"/>
        </w:rPr>
        <w:footnoteReference w:id="103"/>
      </w:r>
    </w:p>
    <w:p w14:paraId="0C4C2A06" w14:textId="77777777" w:rsidR="00BD19D8" w:rsidRPr="00765CB8" w:rsidRDefault="00BD19D8" w:rsidP="00765CB8">
      <w:pPr>
        <w:jc w:val="both"/>
        <w:rPr>
          <w:rFonts w:ascii="Times New Roman" w:hAnsi="Times New Roman" w:cs="Times New Roman"/>
          <w:color w:val="000000" w:themeColor="text1"/>
        </w:rPr>
      </w:pPr>
    </w:p>
    <w:p w14:paraId="60F4D403" w14:textId="553FB5D0" w:rsidR="00455C55" w:rsidRDefault="00702ADA"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In relation to administration of estates</w:t>
      </w:r>
      <w:r w:rsidR="0061617D">
        <w:rPr>
          <w:rFonts w:ascii="Times New Roman" w:hAnsi="Times New Roman" w:cs="Times New Roman"/>
          <w:color w:val="000000" w:themeColor="text1"/>
        </w:rPr>
        <w:t>, section</w:t>
      </w:r>
      <w:r w:rsidR="00556A1D">
        <w:rPr>
          <w:rFonts w:ascii="Times New Roman" w:hAnsi="Times New Roman" w:cs="Times New Roman"/>
          <w:color w:val="000000" w:themeColor="text1"/>
        </w:rPr>
        <w:t>s 23 and</w:t>
      </w:r>
      <w:r w:rsidR="0061617D">
        <w:rPr>
          <w:rFonts w:ascii="Times New Roman" w:hAnsi="Times New Roman" w:cs="Times New Roman"/>
          <w:color w:val="000000" w:themeColor="text1"/>
        </w:rPr>
        <w:t xml:space="preserve"> 24 of</w:t>
      </w:r>
      <w:r w:rsidRPr="00765CB8">
        <w:rPr>
          <w:rFonts w:ascii="Times New Roman" w:hAnsi="Times New Roman" w:cs="Times New Roman"/>
          <w:color w:val="000000" w:themeColor="text1"/>
        </w:rPr>
        <w:t xml:space="preserve"> t</w:t>
      </w:r>
      <w:r w:rsidR="009418A2" w:rsidRPr="00765CB8">
        <w:rPr>
          <w:rFonts w:ascii="Times New Roman" w:hAnsi="Times New Roman" w:cs="Times New Roman"/>
          <w:color w:val="000000" w:themeColor="text1"/>
        </w:rPr>
        <w:t xml:space="preserve">he </w:t>
      </w:r>
      <w:r w:rsidR="00BE7711">
        <w:rPr>
          <w:rFonts w:ascii="Times New Roman" w:hAnsi="Times New Roman" w:cs="Times New Roman"/>
          <w:color w:val="000000" w:themeColor="text1"/>
        </w:rPr>
        <w:t xml:space="preserve">2016 </w:t>
      </w:r>
      <w:r w:rsidR="0061617D">
        <w:rPr>
          <w:rFonts w:ascii="Times New Roman" w:hAnsi="Times New Roman" w:cs="Times New Roman"/>
          <w:color w:val="000000" w:themeColor="text1"/>
        </w:rPr>
        <w:t>Act</w:t>
      </w:r>
      <w:r w:rsidR="009418A2" w:rsidRPr="00765CB8">
        <w:rPr>
          <w:rFonts w:ascii="Times New Roman" w:hAnsi="Times New Roman" w:cs="Times New Roman"/>
          <w:color w:val="000000" w:themeColor="text1"/>
        </w:rPr>
        <w:t xml:space="preserve"> put in place protections for trustees and executors in certain circumstances and for persons </w:t>
      </w:r>
      <w:r w:rsidR="009418A2" w:rsidRPr="00765CB8">
        <w:rPr>
          <w:rFonts w:ascii="Times New Roman" w:hAnsi="Times New Roman" w:cs="Times New Roman"/>
          <w:color w:val="000000" w:themeColor="text1"/>
        </w:rPr>
        <w:lastRenderedPageBreak/>
        <w:t>acquiring title in good faith.</w:t>
      </w:r>
      <w:r w:rsidR="009418A2" w:rsidRPr="00765CB8">
        <w:rPr>
          <w:rStyle w:val="FootnoteReference"/>
          <w:rFonts w:ascii="Times New Roman" w:hAnsi="Times New Roman" w:cs="Times New Roman"/>
          <w:color w:val="000000" w:themeColor="text1"/>
        </w:rPr>
        <w:footnoteReference w:id="104"/>
      </w:r>
      <w:r w:rsidR="003E6B8C" w:rsidRPr="00765CB8">
        <w:rPr>
          <w:rFonts w:ascii="Times New Roman" w:hAnsi="Times New Roman" w:cs="Times New Roman"/>
          <w:color w:val="000000" w:themeColor="text1"/>
        </w:rPr>
        <w:t xml:space="preserve"> </w:t>
      </w:r>
      <w:r w:rsidR="002D005E" w:rsidRPr="00765CB8">
        <w:rPr>
          <w:rFonts w:ascii="Times New Roman" w:hAnsi="Times New Roman" w:cs="Times New Roman"/>
          <w:color w:val="000000" w:themeColor="text1"/>
        </w:rPr>
        <w:t>The common law protects a person who acquires property in good faith and for value.</w:t>
      </w:r>
      <w:r w:rsidR="002D005E" w:rsidRPr="00765CB8">
        <w:rPr>
          <w:rStyle w:val="FootnoteReference"/>
          <w:rFonts w:ascii="Times New Roman" w:hAnsi="Times New Roman" w:cs="Times New Roman"/>
          <w:color w:val="000000" w:themeColor="text1"/>
        </w:rPr>
        <w:footnoteReference w:id="105"/>
      </w:r>
      <w:r w:rsidR="00F23E47">
        <w:rPr>
          <w:rFonts w:ascii="Times New Roman" w:hAnsi="Times New Roman" w:cs="Times New Roman"/>
          <w:color w:val="000000" w:themeColor="text1"/>
        </w:rPr>
        <w:t xml:space="preserve"> </w:t>
      </w:r>
      <w:r w:rsidR="0061617D">
        <w:rPr>
          <w:rFonts w:ascii="Times New Roman" w:hAnsi="Times New Roman" w:cs="Times New Roman"/>
          <w:color w:val="000000" w:themeColor="text1"/>
        </w:rPr>
        <w:t>T</w:t>
      </w:r>
      <w:r w:rsidR="002D005E" w:rsidRPr="00765CB8">
        <w:rPr>
          <w:rFonts w:ascii="Times New Roman" w:hAnsi="Times New Roman" w:cs="Times New Roman"/>
          <w:color w:val="000000" w:themeColor="text1"/>
        </w:rPr>
        <w:t>he amendment provide</w:t>
      </w:r>
      <w:r w:rsidR="0061617D">
        <w:rPr>
          <w:rFonts w:ascii="Times New Roman" w:hAnsi="Times New Roman" w:cs="Times New Roman"/>
          <w:color w:val="000000" w:themeColor="text1"/>
        </w:rPr>
        <w:t>s</w:t>
      </w:r>
      <w:r w:rsidR="002D005E" w:rsidRPr="00765CB8">
        <w:rPr>
          <w:rFonts w:ascii="Times New Roman" w:hAnsi="Times New Roman" w:cs="Times New Roman"/>
          <w:color w:val="000000" w:themeColor="text1"/>
        </w:rPr>
        <w:t xml:space="preserve"> a greater </w:t>
      </w:r>
      <w:r w:rsidR="00572492" w:rsidRPr="00765CB8">
        <w:rPr>
          <w:rFonts w:ascii="Times New Roman" w:hAnsi="Times New Roman" w:cs="Times New Roman"/>
          <w:color w:val="000000" w:themeColor="text1"/>
        </w:rPr>
        <w:t xml:space="preserve">level of </w:t>
      </w:r>
      <w:r w:rsidR="002D005E" w:rsidRPr="00765CB8">
        <w:rPr>
          <w:rFonts w:ascii="Times New Roman" w:hAnsi="Times New Roman" w:cs="Times New Roman"/>
          <w:color w:val="000000" w:themeColor="text1"/>
        </w:rPr>
        <w:t>protection to those who acquire property in good faith and for value directly or indirectly from the executor or a person (such as a legatee) who derived it directly from the executor.</w:t>
      </w:r>
      <w:r w:rsidR="002D005E" w:rsidRPr="00765CB8">
        <w:rPr>
          <w:rStyle w:val="FootnoteReference"/>
          <w:rFonts w:ascii="Times New Roman" w:hAnsi="Times New Roman" w:cs="Times New Roman"/>
          <w:color w:val="000000" w:themeColor="text1"/>
        </w:rPr>
        <w:footnoteReference w:id="106"/>
      </w:r>
      <w:r w:rsidR="002D005E" w:rsidRPr="00765CB8">
        <w:rPr>
          <w:rFonts w:ascii="Times New Roman" w:hAnsi="Times New Roman" w:cs="Times New Roman"/>
          <w:color w:val="000000" w:themeColor="text1"/>
        </w:rPr>
        <w:t xml:space="preserve"> </w:t>
      </w:r>
    </w:p>
    <w:p w14:paraId="2F2BD17E" w14:textId="77777777" w:rsidR="00D005D8" w:rsidRPr="00765CB8" w:rsidRDefault="00D005D8" w:rsidP="00765CB8">
      <w:pPr>
        <w:jc w:val="both"/>
        <w:rPr>
          <w:rFonts w:ascii="Times New Roman" w:hAnsi="Times New Roman" w:cs="Times New Roman"/>
          <w:color w:val="000000" w:themeColor="text1"/>
        </w:rPr>
      </w:pPr>
    </w:p>
    <w:p w14:paraId="2B765AE5" w14:textId="77777777" w:rsidR="00CA7CD3" w:rsidRPr="00765CB8" w:rsidRDefault="00765CB8" w:rsidP="00765CB8">
      <w:pPr>
        <w:jc w:val="both"/>
        <w:rPr>
          <w:rFonts w:ascii="Times New Roman" w:hAnsi="Times New Roman" w:cs="Times New Roman"/>
          <w:color w:val="000000" w:themeColor="text1"/>
        </w:rPr>
      </w:pPr>
      <w:bookmarkStart w:id="4" w:name="_Toc299883021"/>
      <w:r w:rsidRPr="00765CB8">
        <w:rPr>
          <w:rFonts w:ascii="Times New Roman" w:hAnsi="Times New Roman" w:cs="Times New Roman"/>
          <w:color w:val="000000" w:themeColor="text1"/>
        </w:rPr>
        <w:t>V. ESTATE PLANNING</w:t>
      </w:r>
    </w:p>
    <w:p w14:paraId="7689DAEE" w14:textId="77777777" w:rsidR="002E283F" w:rsidRPr="00765CB8" w:rsidRDefault="002E283F" w:rsidP="00765CB8">
      <w:pPr>
        <w:jc w:val="both"/>
        <w:rPr>
          <w:rFonts w:ascii="Times New Roman" w:hAnsi="Times New Roman" w:cs="Times New Roman"/>
          <w:color w:val="000000" w:themeColor="text1"/>
        </w:rPr>
      </w:pPr>
    </w:p>
    <w:p w14:paraId="21A0D134" w14:textId="77777777" w:rsidR="00CA7CD3" w:rsidRDefault="00C817B5"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As noted above the introduction by the Succession Regulation of the possibility for testators to choose the law of their nationality to govern their succession creates</w:t>
      </w:r>
      <w:r w:rsidR="00CF3581" w:rsidRPr="00765CB8">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opportunities for UK nationals with a closer connection to Scotland than any other part of the UK to choose Scots law to govern their succession. Although such party autonomy is not yet part of the private international law of succession in any part of the UK it will be given effect to in relation to the testator’s property in any participating EU Member State</w:t>
      </w:r>
      <w:r w:rsidR="00DD7B95" w:rsidRPr="00765CB8">
        <w:rPr>
          <w:rFonts w:ascii="Times New Roman" w:hAnsi="Times New Roman" w:cs="Times New Roman"/>
          <w:color w:val="000000" w:themeColor="text1"/>
        </w:rPr>
        <w:t>.</w:t>
      </w:r>
      <w:r w:rsidR="00F23E47">
        <w:rPr>
          <w:rFonts w:ascii="Times New Roman" w:hAnsi="Times New Roman" w:cs="Times New Roman"/>
          <w:color w:val="000000" w:themeColor="text1"/>
        </w:rPr>
        <w:t xml:space="preserve"> </w:t>
      </w:r>
      <w:r w:rsidR="00DD7B95" w:rsidRPr="00765CB8">
        <w:rPr>
          <w:rFonts w:ascii="Times New Roman" w:hAnsi="Times New Roman" w:cs="Times New Roman"/>
          <w:color w:val="000000" w:themeColor="text1"/>
        </w:rPr>
        <w:t>This will be a particularly wise thing for a UK national who wants Scots law to govern his succession to do if there is any danger that he might be regarded as habitually resident in a participating EU Member State at the time of his or her death.</w:t>
      </w:r>
    </w:p>
    <w:p w14:paraId="31866B5E" w14:textId="77777777" w:rsidR="00BD19D8" w:rsidRPr="00765CB8" w:rsidRDefault="00BD19D8" w:rsidP="00765CB8">
      <w:pPr>
        <w:jc w:val="both"/>
        <w:rPr>
          <w:rFonts w:ascii="Times New Roman" w:hAnsi="Times New Roman" w:cs="Times New Roman"/>
          <w:color w:val="000000" w:themeColor="text1"/>
        </w:rPr>
      </w:pPr>
    </w:p>
    <w:p w14:paraId="0CD1C6D3" w14:textId="77777777" w:rsidR="00DD7B95" w:rsidRPr="00765CB8" w:rsidRDefault="00DD7B95"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 xml:space="preserve">On the other </w:t>
      </w:r>
      <w:r w:rsidR="00520609" w:rsidRPr="00765CB8">
        <w:rPr>
          <w:rFonts w:ascii="Times New Roman" w:hAnsi="Times New Roman" w:cs="Times New Roman"/>
          <w:color w:val="000000" w:themeColor="text1"/>
        </w:rPr>
        <w:t>hand,</w:t>
      </w:r>
      <w:r w:rsidRPr="00765CB8">
        <w:rPr>
          <w:rFonts w:ascii="Times New Roman" w:hAnsi="Times New Roman" w:cs="Times New Roman"/>
          <w:color w:val="000000" w:themeColor="text1"/>
        </w:rPr>
        <w:t xml:space="preserve"> a national of a participating EU Member State will not be able to escape the application of Scots law if he or she dies domiciled in Scotland by the device of choosing the law of his or her nationality to govern </w:t>
      </w:r>
      <w:r w:rsidR="0043051E" w:rsidRPr="00765CB8">
        <w:rPr>
          <w:rFonts w:ascii="Times New Roman" w:hAnsi="Times New Roman" w:cs="Times New Roman"/>
          <w:color w:val="000000" w:themeColor="text1"/>
        </w:rPr>
        <w:t>his or her</w:t>
      </w:r>
      <w:r w:rsidRPr="00765CB8">
        <w:rPr>
          <w:rFonts w:ascii="Times New Roman" w:hAnsi="Times New Roman" w:cs="Times New Roman"/>
          <w:color w:val="000000" w:themeColor="text1"/>
        </w:rPr>
        <w:t xml:space="preserve"> succession.</w:t>
      </w:r>
      <w:r w:rsidR="00F23E47">
        <w:rPr>
          <w:rFonts w:ascii="Times New Roman" w:hAnsi="Times New Roman" w:cs="Times New Roman"/>
          <w:color w:val="000000" w:themeColor="text1"/>
        </w:rPr>
        <w:t xml:space="preserve"> </w:t>
      </w:r>
      <w:r w:rsidRPr="00765CB8">
        <w:rPr>
          <w:rFonts w:ascii="Times New Roman" w:hAnsi="Times New Roman" w:cs="Times New Roman"/>
          <w:color w:val="000000" w:themeColor="text1"/>
        </w:rPr>
        <w:t>In such a case the assets of that person in a participating EU Member State would devolve according to the law of the chosen nationality whereas the moveable assets in the UK would devolve according to the law of Scotland and the immoveable assets in the UK would devolve according to the law of that part of the UK.</w:t>
      </w:r>
    </w:p>
    <w:p w14:paraId="66C53FAD" w14:textId="77777777" w:rsidR="00DD7B95" w:rsidRPr="00765CB8" w:rsidRDefault="00DD7B95" w:rsidP="00765CB8">
      <w:pPr>
        <w:jc w:val="both"/>
        <w:rPr>
          <w:rFonts w:ascii="Times New Roman" w:hAnsi="Times New Roman" w:cs="Times New Roman"/>
          <w:color w:val="000000" w:themeColor="text1"/>
        </w:rPr>
      </w:pPr>
    </w:p>
    <w:p w14:paraId="3828C470" w14:textId="7637AC95" w:rsidR="00CF3581" w:rsidRDefault="00DD7B95"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The Succession Regulation does not open up any other options</w:t>
      </w:r>
      <w:r w:rsidR="00B45F76" w:rsidRPr="00765CB8">
        <w:rPr>
          <w:rFonts w:ascii="Times New Roman" w:hAnsi="Times New Roman" w:cs="Times New Roman"/>
          <w:color w:val="000000" w:themeColor="text1"/>
        </w:rPr>
        <w:t xml:space="preserve"> for estate planning because the party autonomy was deliberately restricted to nationality.</w:t>
      </w:r>
      <w:r w:rsidR="00B45F76" w:rsidRPr="00765CB8">
        <w:rPr>
          <w:rStyle w:val="FootnoteReference"/>
          <w:rFonts w:ascii="Times New Roman" w:hAnsi="Times New Roman" w:cs="Times New Roman"/>
          <w:color w:val="000000" w:themeColor="text1"/>
        </w:rPr>
        <w:footnoteReference w:id="107"/>
      </w:r>
    </w:p>
    <w:p w14:paraId="50E4B774" w14:textId="77777777" w:rsidR="00F576EB" w:rsidRDefault="00F576EB" w:rsidP="00765CB8">
      <w:pPr>
        <w:jc w:val="both"/>
        <w:rPr>
          <w:rFonts w:ascii="Times New Roman" w:hAnsi="Times New Roman" w:cs="Times New Roman"/>
          <w:color w:val="000000" w:themeColor="text1"/>
        </w:rPr>
      </w:pPr>
    </w:p>
    <w:p w14:paraId="0F04C871" w14:textId="77777777" w:rsidR="00BD19D8" w:rsidRPr="00765CB8" w:rsidRDefault="00BD19D8" w:rsidP="00765CB8">
      <w:pPr>
        <w:jc w:val="both"/>
        <w:rPr>
          <w:rFonts w:ascii="Times New Roman" w:hAnsi="Times New Roman" w:cs="Times New Roman"/>
          <w:color w:val="000000" w:themeColor="text1"/>
        </w:rPr>
      </w:pPr>
    </w:p>
    <w:p w14:paraId="458A6307" w14:textId="77777777" w:rsidR="00455C55" w:rsidRPr="00765CB8" w:rsidRDefault="00765CB8"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VI. CONCLUSION</w:t>
      </w:r>
      <w:bookmarkEnd w:id="4"/>
    </w:p>
    <w:p w14:paraId="6905E46C" w14:textId="77777777" w:rsidR="00CF1155" w:rsidRPr="00765CB8" w:rsidRDefault="00CF1155" w:rsidP="00765CB8">
      <w:pPr>
        <w:jc w:val="both"/>
        <w:rPr>
          <w:rFonts w:ascii="Times New Roman" w:hAnsi="Times New Roman" w:cs="Times New Roman"/>
          <w:color w:val="000000" w:themeColor="text1"/>
        </w:rPr>
      </w:pPr>
    </w:p>
    <w:p w14:paraId="2218FE1E" w14:textId="6165F004" w:rsidR="00455C55" w:rsidRPr="00765CB8" w:rsidRDefault="004724F7" w:rsidP="00765CB8">
      <w:pPr>
        <w:jc w:val="both"/>
        <w:rPr>
          <w:rFonts w:ascii="Times New Roman" w:hAnsi="Times New Roman" w:cs="Times New Roman"/>
          <w:color w:val="000000" w:themeColor="text1"/>
        </w:rPr>
      </w:pPr>
      <w:r w:rsidRPr="00765CB8">
        <w:rPr>
          <w:rFonts w:ascii="Times New Roman" w:hAnsi="Times New Roman" w:cs="Times New Roman"/>
          <w:color w:val="000000" w:themeColor="text1"/>
        </w:rPr>
        <w:t>The</w:t>
      </w:r>
      <w:r w:rsidR="00396759" w:rsidRPr="00765CB8">
        <w:rPr>
          <w:rFonts w:ascii="Times New Roman" w:hAnsi="Times New Roman" w:cs="Times New Roman"/>
          <w:color w:val="000000" w:themeColor="text1"/>
        </w:rPr>
        <w:t xml:space="preserve"> aim of the Succession Regulation was to harmonise </w:t>
      </w:r>
      <w:r w:rsidR="004003E4" w:rsidRPr="00765CB8">
        <w:rPr>
          <w:rFonts w:ascii="Times New Roman" w:hAnsi="Times New Roman" w:cs="Times New Roman"/>
          <w:color w:val="000000" w:themeColor="text1"/>
        </w:rPr>
        <w:t>the conflict of law rules in cross-border succession cases in order to allow testator</w:t>
      </w:r>
      <w:r w:rsidR="00396A52" w:rsidRPr="00765CB8">
        <w:rPr>
          <w:rFonts w:ascii="Times New Roman" w:hAnsi="Times New Roman" w:cs="Times New Roman"/>
          <w:color w:val="000000" w:themeColor="text1"/>
        </w:rPr>
        <w:t>s</w:t>
      </w:r>
      <w:r w:rsidR="004003E4" w:rsidRPr="00765CB8">
        <w:rPr>
          <w:rFonts w:ascii="Times New Roman" w:hAnsi="Times New Roman" w:cs="Times New Roman"/>
          <w:color w:val="000000" w:themeColor="text1"/>
        </w:rPr>
        <w:t xml:space="preserve"> to plan their estate</w:t>
      </w:r>
      <w:r w:rsidR="00396A52" w:rsidRPr="00765CB8">
        <w:rPr>
          <w:rFonts w:ascii="Times New Roman" w:hAnsi="Times New Roman" w:cs="Times New Roman"/>
          <w:color w:val="000000" w:themeColor="text1"/>
        </w:rPr>
        <w:t>s</w:t>
      </w:r>
      <w:r w:rsidR="004003E4" w:rsidRPr="00765CB8">
        <w:rPr>
          <w:rFonts w:ascii="Times New Roman" w:hAnsi="Times New Roman" w:cs="Times New Roman"/>
          <w:color w:val="000000" w:themeColor="text1"/>
        </w:rPr>
        <w:t xml:space="preserve"> with </w:t>
      </w:r>
      <w:r w:rsidR="00016FD0" w:rsidRPr="00765CB8">
        <w:rPr>
          <w:rFonts w:ascii="Times New Roman" w:hAnsi="Times New Roman" w:cs="Times New Roman"/>
          <w:color w:val="000000" w:themeColor="text1"/>
        </w:rPr>
        <w:t>certainty</w:t>
      </w:r>
      <w:r w:rsidRPr="00765CB8">
        <w:rPr>
          <w:rFonts w:ascii="Times New Roman" w:hAnsi="Times New Roman" w:cs="Times New Roman"/>
          <w:color w:val="000000" w:themeColor="text1"/>
        </w:rPr>
        <w:t xml:space="preserve">. As </w:t>
      </w:r>
      <w:r w:rsidR="00180A8D" w:rsidRPr="00765CB8">
        <w:rPr>
          <w:rFonts w:ascii="Times New Roman" w:hAnsi="Times New Roman" w:cs="Times New Roman"/>
          <w:color w:val="000000" w:themeColor="text1"/>
        </w:rPr>
        <w:t xml:space="preserve">not all </w:t>
      </w:r>
      <w:r w:rsidR="008A0C5F">
        <w:rPr>
          <w:rFonts w:ascii="Times New Roman" w:hAnsi="Times New Roman" w:cs="Times New Roman"/>
          <w:color w:val="000000" w:themeColor="text1"/>
        </w:rPr>
        <w:t xml:space="preserve">EU </w:t>
      </w:r>
      <w:r w:rsidR="0043051E" w:rsidRPr="00765CB8">
        <w:rPr>
          <w:rFonts w:ascii="Times New Roman" w:hAnsi="Times New Roman" w:cs="Times New Roman"/>
          <w:color w:val="000000" w:themeColor="text1"/>
        </w:rPr>
        <w:t>Member States are party to the R</w:t>
      </w:r>
      <w:r w:rsidR="00180A8D" w:rsidRPr="00765CB8">
        <w:rPr>
          <w:rFonts w:ascii="Times New Roman" w:hAnsi="Times New Roman" w:cs="Times New Roman"/>
          <w:color w:val="000000" w:themeColor="text1"/>
        </w:rPr>
        <w:t xml:space="preserve">egulation </w:t>
      </w:r>
      <w:r w:rsidRPr="00765CB8">
        <w:rPr>
          <w:rFonts w:ascii="Times New Roman" w:hAnsi="Times New Roman" w:cs="Times New Roman"/>
          <w:color w:val="000000" w:themeColor="text1"/>
        </w:rPr>
        <w:t>it is clear that the intention has not been met</w:t>
      </w:r>
      <w:r w:rsidR="008A0C5F">
        <w:rPr>
          <w:rFonts w:ascii="Times New Roman" w:hAnsi="Times New Roman" w:cs="Times New Roman"/>
          <w:color w:val="000000" w:themeColor="text1"/>
        </w:rPr>
        <w:t>.</w:t>
      </w:r>
      <w:r w:rsidRPr="00765CB8">
        <w:rPr>
          <w:rFonts w:ascii="Times New Roman" w:hAnsi="Times New Roman" w:cs="Times New Roman"/>
          <w:color w:val="000000" w:themeColor="text1"/>
        </w:rPr>
        <w:t xml:space="preserve"> </w:t>
      </w:r>
      <w:r w:rsidR="008A0C5F">
        <w:rPr>
          <w:rFonts w:ascii="Times New Roman" w:hAnsi="Times New Roman" w:cs="Times New Roman"/>
          <w:color w:val="000000" w:themeColor="text1"/>
        </w:rPr>
        <w:t>A</w:t>
      </w:r>
      <w:r w:rsidR="00C551AA" w:rsidRPr="00765CB8">
        <w:rPr>
          <w:rFonts w:ascii="Times New Roman" w:hAnsi="Times New Roman" w:cs="Times New Roman"/>
          <w:color w:val="000000" w:themeColor="text1"/>
        </w:rPr>
        <w:t xml:space="preserve">s demonstrated within this paper, </w:t>
      </w:r>
      <w:r w:rsidRPr="00765CB8">
        <w:rPr>
          <w:rFonts w:ascii="Times New Roman" w:hAnsi="Times New Roman" w:cs="Times New Roman"/>
          <w:color w:val="000000" w:themeColor="text1"/>
        </w:rPr>
        <w:t>there will be continuing conflict of law</w:t>
      </w:r>
      <w:r w:rsidR="0043051E" w:rsidRPr="00765CB8">
        <w:rPr>
          <w:rFonts w:ascii="Times New Roman" w:hAnsi="Times New Roman" w:cs="Times New Roman"/>
          <w:color w:val="000000" w:themeColor="text1"/>
        </w:rPr>
        <w:t>s</w:t>
      </w:r>
      <w:r w:rsidRPr="00765CB8">
        <w:rPr>
          <w:rFonts w:ascii="Times New Roman" w:hAnsi="Times New Roman" w:cs="Times New Roman"/>
          <w:color w:val="000000" w:themeColor="text1"/>
        </w:rPr>
        <w:t xml:space="preserve"> and jurisdiction issues when dealing with cross-border succession cases involving a </w:t>
      </w:r>
      <w:r w:rsidR="008F0718" w:rsidRPr="00765CB8">
        <w:rPr>
          <w:rFonts w:ascii="Times New Roman" w:hAnsi="Times New Roman" w:cs="Times New Roman"/>
          <w:color w:val="000000" w:themeColor="text1"/>
        </w:rPr>
        <w:t xml:space="preserve">participating </w:t>
      </w:r>
      <w:r w:rsidR="00214DEE" w:rsidRPr="00765CB8">
        <w:rPr>
          <w:rFonts w:ascii="Times New Roman" w:hAnsi="Times New Roman" w:cs="Times New Roman"/>
          <w:color w:val="000000" w:themeColor="text1"/>
        </w:rPr>
        <w:t>M</w:t>
      </w:r>
      <w:r w:rsidR="008F0718" w:rsidRPr="00765CB8">
        <w:rPr>
          <w:rFonts w:ascii="Times New Roman" w:hAnsi="Times New Roman" w:cs="Times New Roman"/>
          <w:color w:val="000000" w:themeColor="text1"/>
        </w:rPr>
        <w:t xml:space="preserve">ember </w:t>
      </w:r>
      <w:r w:rsidR="00214DEE" w:rsidRPr="00765CB8">
        <w:rPr>
          <w:rFonts w:ascii="Times New Roman" w:hAnsi="Times New Roman" w:cs="Times New Roman"/>
          <w:color w:val="000000" w:themeColor="text1"/>
        </w:rPr>
        <w:t>S</w:t>
      </w:r>
      <w:r w:rsidR="008F0718" w:rsidRPr="00765CB8">
        <w:rPr>
          <w:rFonts w:ascii="Times New Roman" w:hAnsi="Times New Roman" w:cs="Times New Roman"/>
          <w:color w:val="000000" w:themeColor="text1"/>
        </w:rPr>
        <w:t>tate and Scotland</w:t>
      </w:r>
      <w:r w:rsidRPr="00765CB8">
        <w:rPr>
          <w:rFonts w:ascii="Times New Roman" w:hAnsi="Times New Roman" w:cs="Times New Roman"/>
          <w:color w:val="000000" w:themeColor="text1"/>
        </w:rPr>
        <w:t>.</w:t>
      </w:r>
      <w:r w:rsidR="00C21981">
        <w:rPr>
          <w:rFonts w:ascii="Times New Roman" w:hAnsi="Times New Roman" w:cs="Times New Roman"/>
          <w:color w:val="000000" w:themeColor="text1"/>
        </w:rPr>
        <w:t xml:space="preserve">  This was true before Brexit and remains true thereafter.</w:t>
      </w:r>
    </w:p>
    <w:sectPr w:rsidR="00455C55" w:rsidRPr="00765CB8" w:rsidSect="0023407D">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B11FA" w14:textId="77777777" w:rsidR="0091372D" w:rsidRDefault="0091372D" w:rsidP="006678CF">
      <w:r>
        <w:separator/>
      </w:r>
    </w:p>
  </w:endnote>
  <w:endnote w:type="continuationSeparator" w:id="0">
    <w:p w14:paraId="2DA8202C" w14:textId="77777777" w:rsidR="0091372D" w:rsidRDefault="0091372D" w:rsidP="006678CF">
      <w:r>
        <w:continuationSeparator/>
      </w:r>
    </w:p>
  </w:endnote>
  <w:endnote w:type="continuationNotice" w:id="1">
    <w:p w14:paraId="2CCBDB84" w14:textId="77777777" w:rsidR="0091372D" w:rsidRDefault="00913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36EC" w14:textId="77777777" w:rsidR="003E7292" w:rsidRDefault="003E7292" w:rsidP="001B00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0EAD1D" w14:textId="77777777" w:rsidR="003E7292" w:rsidRDefault="003E7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6755" w14:textId="0956F339" w:rsidR="003E7292" w:rsidRDefault="003E7292" w:rsidP="001B00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1261">
      <w:rPr>
        <w:rStyle w:val="PageNumber"/>
        <w:noProof/>
      </w:rPr>
      <w:t>10</w:t>
    </w:r>
    <w:r>
      <w:rPr>
        <w:rStyle w:val="PageNumber"/>
      </w:rPr>
      <w:fldChar w:fldCharType="end"/>
    </w:r>
  </w:p>
  <w:p w14:paraId="578211FA" w14:textId="77777777" w:rsidR="003E7292" w:rsidRDefault="003E7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484B" w14:textId="77777777" w:rsidR="0091372D" w:rsidRDefault="0091372D" w:rsidP="006678CF">
      <w:r>
        <w:separator/>
      </w:r>
    </w:p>
  </w:footnote>
  <w:footnote w:type="continuationSeparator" w:id="0">
    <w:p w14:paraId="00E11691" w14:textId="77777777" w:rsidR="0091372D" w:rsidRDefault="0091372D" w:rsidP="006678CF">
      <w:r>
        <w:continuationSeparator/>
      </w:r>
    </w:p>
  </w:footnote>
  <w:footnote w:type="continuationNotice" w:id="1">
    <w:p w14:paraId="57A22B37" w14:textId="77777777" w:rsidR="0091372D" w:rsidRDefault="0091372D"/>
  </w:footnote>
  <w:footnote w:id="2">
    <w:p w14:paraId="73670031"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sym w:font="Symbol" w:char="F02A"/>
      </w:r>
      <w:r w:rsidRPr="008800B6">
        <w:rPr>
          <w:rFonts w:ascii="Times New Roman" w:hAnsi="Times New Roman" w:cs="Times New Roman"/>
          <w:szCs w:val="20"/>
        </w:rPr>
        <w:t xml:space="preserve"> Professor Beaumont was an adviser to the UK and Scottish Governments and a member of the UK delegation to the Council Working Party that negotiated the EU Succession Regulation throughout the period of the preparation for and conclusion of the Regulation. All views expressed in this paper are personal to he and Jayne Holliday and do not reflect the views of the UK or Scottish Governments.</w:t>
      </w:r>
    </w:p>
  </w:footnote>
  <w:footnote w:id="3">
    <w:p w14:paraId="517F4CFD" w14:textId="71DC9E8B"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Paul Beaumont and Peter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xml:space="preserve">, </w:t>
      </w:r>
      <w:r w:rsidRPr="008800B6">
        <w:rPr>
          <w:rFonts w:ascii="Times New Roman" w:hAnsi="Times New Roman" w:cs="Times New Roman"/>
          <w:i/>
          <w:szCs w:val="20"/>
        </w:rPr>
        <w:t>Anton’s Private International Law</w:t>
      </w:r>
      <w:r w:rsidRPr="008800B6">
        <w:rPr>
          <w:rFonts w:ascii="Times New Roman" w:hAnsi="Times New Roman" w:cs="Times New Roman"/>
          <w:szCs w:val="20"/>
        </w:rPr>
        <w:t>, (3</w:t>
      </w:r>
      <w:r w:rsidRPr="008800B6">
        <w:rPr>
          <w:rFonts w:ascii="Times New Roman" w:hAnsi="Times New Roman" w:cs="Times New Roman"/>
          <w:szCs w:val="20"/>
          <w:vertAlign w:val="superscript"/>
        </w:rPr>
        <w:t>rd</w:t>
      </w:r>
      <w:r w:rsidRPr="008800B6">
        <w:rPr>
          <w:rFonts w:ascii="Times New Roman" w:hAnsi="Times New Roman" w:cs="Times New Roman"/>
          <w:szCs w:val="20"/>
        </w:rPr>
        <w:t xml:space="preserve"> edn, W. Green 2011) 6-11; Louis Garb and John Wood, </w:t>
      </w:r>
      <w:r w:rsidRPr="008800B6">
        <w:rPr>
          <w:rFonts w:ascii="Times New Roman" w:hAnsi="Times New Roman" w:cs="Times New Roman"/>
          <w:i/>
          <w:szCs w:val="20"/>
        </w:rPr>
        <w:t>International Succession</w:t>
      </w:r>
      <w:r w:rsidRPr="008800B6">
        <w:rPr>
          <w:rFonts w:ascii="Times New Roman" w:hAnsi="Times New Roman" w:cs="Times New Roman"/>
          <w:szCs w:val="20"/>
        </w:rPr>
        <w:t>, (4</w:t>
      </w:r>
      <w:r w:rsidRPr="008800B6">
        <w:rPr>
          <w:rFonts w:ascii="Times New Roman" w:hAnsi="Times New Roman" w:cs="Times New Roman"/>
          <w:szCs w:val="20"/>
          <w:vertAlign w:val="superscript"/>
        </w:rPr>
        <w:t>th</w:t>
      </w:r>
      <w:r w:rsidRPr="008800B6">
        <w:rPr>
          <w:rFonts w:ascii="Times New Roman" w:hAnsi="Times New Roman" w:cs="Times New Roman"/>
          <w:szCs w:val="20"/>
        </w:rPr>
        <w:t xml:space="preserve"> edn, OUP 2015) 719.</w:t>
      </w:r>
    </w:p>
  </w:footnote>
  <w:footnote w:id="4">
    <w:p w14:paraId="1BB9630C" w14:textId="7D3014EF"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w:t>
      </w:r>
      <w:r w:rsidR="00D5692B" w:rsidRPr="008800B6">
        <w:rPr>
          <w:rFonts w:ascii="Times New Roman" w:hAnsi="Times New Roman" w:cs="Times New Roman"/>
          <w:szCs w:val="20"/>
        </w:rPr>
        <w:t xml:space="preserve">Beaumont and </w:t>
      </w:r>
      <w:proofErr w:type="spellStart"/>
      <w:r w:rsidR="00D5692B" w:rsidRPr="008800B6">
        <w:rPr>
          <w:rFonts w:ascii="Times New Roman" w:hAnsi="Times New Roman" w:cs="Times New Roman"/>
          <w:szCs w:val="20"/>
        </w:rPr>
        <w:t>McEleavy</w:t>
      </w:r>
      <w:proofErr w:type="spellEnd"/>
      <w:r w:rsidR="00D5692B" w:rsidRPr="008800B6">
        <w:rPr>
          <w:rFonts w:ascii="Times New Roman" w:hAnsi="Times New Roman" w:cs="Times New Roman"/>
          <w:szCs w:val="20"/>
        </w:rPr>
        <w:t>, i</w:t>
      </w:r>
      <w:r w:rsidRPr="008800B6">
        <w:rPr>
          <w:rFonts w:ascii="Times New Roman" w:hAnsi="Times New Roman" w:cs="Times New Roman"/>
          <w:szCs w:val="20"/>
        </w:rPr>
        <w:t xml:space="preserve">bid. </w:t>
      </w:r>
    </w:p>
  </w:footnote>
  <w:footnote w:id="5">
    <w:p w14:paraId="321994BC"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w:t>
      </w:r>
    </w:p>
  </w:footnote>
  <w:footnote w:id="6">
    <w:p w14:paraId="1A6BADD1" w14:textId="1AFAB2AE" w:rsidR="003E7292" w:rsidRPr="008800B6" w:rsidRDefault="003E7292" w:rsidP="00E16B37">
      <w:pPr>
        <w:pStyle w:val="FootnoteText"/>
        <w:jc w:val="both"/>
        <w:rPr>
          <w:rFonts w:ascii="Times New Roman" w:hAnsi="Times New Roman" w:cs="Times New Roman"/>
          <w:szCs w:val="20"/>
          <w:lang w:val="en-US"/>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European Union Committee, </w:t>
      </w:r>
      <w:r w:rsidRPr="008800B6">
        <w:rPr>
          <w:rFonts w:ascii="Times New Roman" w:hAnsi="Times New Roman" w:cs="Times New Roman"/>
          <w:i/>
          <w:szCs w:val="20"/>
        </w:rPr>
        <w:t>The EU’s Regulation on Succession</w:t>
      </w:r>
      <w:r w:rsidRPr="008800B6">
        <w:rPr>
          <w:rFonts w:ascii="Times New Roman" w:hAnsi="Times New Roman" w:cs="Times New Roman"/>
          <w:szCs w:val="20"/>
        </w:rPr>
        <w:t xml:space="preserve"> (HL 16 December 2009 WS 274). The UK made the decision not to opt into the Regulation, but to continue informal negotiations with the aim to improve the proposal and if successful to opt in at a later stage. The negotiations failed to adequately address UK concerns over habitual residence and clawback. &lt;www.publications.parliament.uk/pa/ld200910/ldselect/ldeucom/75/7504.htm&gt; accessed 14 December 2015; 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 (Succession</w:t>
      </w:r>
      <w:r w:rsidR="00A71070" w:rsidRPr="008800B6">
        <w:rPr>
          <w:rFonts w:ascii="Times New Roman" w:hAnsi="Times New Roman" w:cs="Times New Roman"/>
          <w:szCs w:val="20"/>
        </w:rPr>
        <w:t xml:space="preserve"> Regulation) [2012] OJ L 201</w:t>
      </w:r>
      <w:r w:rsidRPr="008800B6">
        <w:rPr>
          <w:rFonts w:ascii="Times New Roman" w:hAnsi="Times New Roman" w:cs="Times New Roman"/>
          <w:szCs w:val="20"/>
        </w:rPr>
        <w:t>, Rec. 82.</w:t>
      </w:r>
    </w:p>
  </w:footnote>
  <w:footnote w:id="7">
    <w:p w14:paraId="2FF7E346" w14:textId="38A00824"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Jack Straw, HC 16</w:t>
      </w:r>
      <w:r w:rsidRPr="008800B6">
        <w:rPr>
          <w:rFonts w:ascii="Times New Roman" w:hAnsi="Times New Roman" w:cs="Times New Roman"/>
          <w:szCs w:val="20"/>
          <w:vertAlign w:val="superscript"/>
        </w:rPr>
        <w:t>th</w:t>
      </w:r>
      <w:r w:rsidRPr="008800B6">
        <w:rPr>
          <w:rFonts w:ascii="Times New Roman" w:hAnsi="Times New Roman" w:cs="Times New Roman"/>
          <w:szCs w:val="20"/>
        </w:rPr>
        <w:t xml:space="preserve"> December 2009, col 141WS, &lt;www.publications.parliament.uk/pa/cm200910/cmhansrd/cm091216/wmstext/91216m0003.htm&gt; accessed on 14 December 2015.</w:t>
      </w:r>
    </w:p>
  </w:footnote>
  <w:footnote w:id="8">
    <w:p w14:paraId="53D6BEAF" w14:textId="043A14E2"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Professor Matthews, House of Lords, European Union Committee, Minutes of Evidence (2009) Q. 28. Clawback was raised as a ‘redline’ issue for the UK in the Supplementary letter from Lord Grenfell, Chairman of the European Union Committee, to Bridget Prentice MP, Parliamentary Under Secretary of State, Ministry of Justice of 25 October 2007 in HL European Union Committee, &lt;www.publications.parliament.uk/pa/ld200708/ldselect/ldeucom/12/7101005.htm&gt; accessed on 14 December 2015.</w:t>
      </w:r>
    </w:p>
  </w:footnote>
  <w:footnote w:id="9">
    <w:p w14:paraId="705E19A3" w14:textId="480746C6"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1063; Jonathan Harris, ‘The Proposed EU Regulation on Succession and Wills: Prospects and Challenges’ (2008) Trust Law International 1, 19. ‘One might wonder how legal certainty, and the internal market, can be improved by the introduction of a connecting factor upon which no consensus as to its meaning exists’.</w:t>
      </w:r>
      <w:r w:rsidRPr="008800B6">
        <w:rPr>
          <w:rFonts w:ascii="Times New Roman" w:hAnsi="Times New Roman" w:cs="Times New Roman"/>
          <w:vanish/>
          <w:szCs w:val="20"/>
        </w:rPr>
        <w:t xml:space="preserve"> as the connecting factor of the dayt path and rep;laced the concept with nationalityile was established as its criterion.law. </w:t>
      </w:r>
    </w:p>
  </w:footnote>
  <w:footnote w:id="10">
    <w:p w14:paraId="650A68CA" w14:textId="6E651588" w:rsidR="003E7292" w:rsidRPr="008800B6" w:rsidRDefault="003E7292" w:rsidP="00E16B37">
      <w:pPr>
        <w:jc w:val="both"/>
        <w:rPr>
          <w:rFonts w:ascii="Times New Roman" w:hAnsi="Times New Roman" w:cs="Times New Roman"/>
          <w:sz w:val="20"/>
          <w:szCs w:val="20"/>
        </w:rPr>
      </w:pPr>
      <w:r w:rsidRPr="008800B6">
        <w:rPr>
          <w:rStyle w:val="FootnoteReference"/>
          <w:rFonts w:ascii="Times New Roman" w:hAnsi="Times New Roman" w:cs="Times New Roman"/>
          <w:sz w:val="20"/>
          <w:szCs w:val="20"/>
        </w:rPr>
        <w:footnoteRef/>
      </w:r>
      <w:r w:rsidRPr="008800B6">
        <w:rPr>
          <w:rFonts w:ascii="Times New Roman" w:hAnsi="Times New Roman" w:cs="Times New Roman"/>
          <w:sz w:val="20"/>
          <w:szCs w:val="20"/>
        </w:rPr>
        <w:t xml:space="preserve"> Beaumont and </w:t>
      </w:r>
      <w:proofErr w:type="spellStart"/>
      <w:r w:rsidRPr="008800B6">
        <w:rPr>
          <w:rFonts w:ascii="Times New Roman" w:hAnsi="Times New Roman" w:cs="Times New Roman"/>
          <w:sz w:val="20"/>
          <w:szCs w:val="20"/>
        </w:rPr>
        <w:t>McEleavy</w:t>
      </w:r>
      <w:proofErr w:type="spellEnd"/>
      <w:r w:rsidRPr="008800B6">
        <w:rPr>
          <w:rFonts w:ascii="Times New Roman" w:hAnsi="Times New Roman" w:cs="Times New Roman"/>
          <w:sz w:val="20"/>
          <w:szCs w:val="20"/>
        </w:rPr>
        <w:t>; Jayne Holliday, ‘Reconciling the European Union Succession Regulation with the Priva</w:t>
      </w:r>
      <w:r w:rsidR="00AF49BE" w:rsidRPr="008800B6">
        <w:rPr>
          <w:rFonts w:ascii="Times New Roman" w:hAnsi="Times New Roman" w:cs="Times New Roman"/>
          <w:sz w:val="20"/>
          <w:szCs w:val="20"/>
        </w:rPr>
        <w:t>te International Law of the UK’</w:t>
      </w:r>
      <w:r w:rsidRPr="008800B6">
        <w:rPr>
          <w:rStyle w:val="Emphasis"/>
          <w:rFonts w:ascii="Times New Roman" w:hAnsi="Times New Roman" w:cs="Times New Roman"/>
          <w:sz w:val="20"/>
          <w:szCs w:val="20"/>
        </w:rPr>
        <w:t xml:space="preserve"> </w:t>
      </w:r>
      <w:r w:rsidRPr="008800B6">
        <w:rPr>
          <w:rStyle w:val="Emphasis"/>
          <w:rFonts w:ascii="Times New Roman" w:hAnsi="Times New Roman" w:cs="Times New Roman"/>
          <w:i w:val="0"/>
          <w:sz w:val="20"/>
          <w:szCs w:val="20"/>
        </w:rPr>
        <w:t>in</w:t>
      </w:r>
      <w:r w:rsidRPr="008800B6">
        <w:rPr>
          <w:rStyle w:val="Emphasis"/>
          <w:rFonts w:ascii="Times New Roman" w:hAnsi="Times New Roman" w:cs="Times New Roman"/>
          <w:sz w:val="20"/>
          <w:szCs w:val="20"/>
        </w:rPr>
        <w:t xml:space="preserve"> </w:t>
      </w:r>
      <w:r w:rsidRPr="008800B6">
        <w:rPr>
          <w:rFonts w:ascii="Times New Roman" w:hAnsi="Times New Roman" w:cs="Times New Roman"/>
          <w:iCs/>
          <w:sz w:val="20"/>
          <w:szCs w:val="20"/>
        </w:rPr>
        <w:t>Jean-</w:t>
      </w:r>
      <w:proofErr w:type="spellStart"/>
      <w:r w:rsidRPr="008800B6">
        <w:rPr>
          <w:rFonts w:ascii="Times New Roman" w:hAnsi="Times New Roman" w:cs="Times New Roman"/>
          <w:iCs/>
          <w:sz w:val="20"/>
          <w:szCs w:val="20"/>
        </w:rPr>
        <w:t>Sylvestre</w:t>
      </w:r>
      <w:proofErr w:type="spellEnd"/>
      <w:r w:rsidRPr="008800B6">
        <w:rPr>
          <w:rFonts w:ascii="Times New Roman" w:hAnsi="Times New Roman" w:cs="Times New Roman"/>
          <w:i/>
          <w:iCs/>
          <w:sz w:val="20"/>
          <w:szCs w:val="20"/>
        </w:rPr>
        <w:t xml:space="preserve"> </w:t>
      </w:r>
      <w:proofErr w:type="spellStart"/>
      <w:r w:rsidRPr="008800B6">
        <w:rPr>
          <w:rFonts w:ascii="Times New Roman" w:hAnsi="Times New Roman" w:cs="Times New Roman"/>
          <w:sz w:val="20"/>
          <w:szCs w:val="20"/>
        </w:rPr>
        <w:t>Bergé</w:t>
      </w:r>
      <w:proofErr w:type="spellEnd"/>
      <w:r w:rsidRPr="008800B6">
        <w:rPr>
          <w:rFonts w:ascii="Times New Roman" w:hAnsi="Times New Roman" w:cs="Times New Roman"/>
          <w:sz w:val="20"/>
          <w:szCs w:val="20"/>
        </w:rPr>
        <w:t xml:space="preserve"> et al. (eds), </w:t>
      </w:r>
      <w:r w:rsidRPr="008800B6">
        <w:rPr>
          <w:rFonts w:ascii="Times New Roman" w:hAnsi="Times New Roman" w:cs="Times New Roman"/>
          <w:i/>
          <w:sz w:val="20"/>
          <w:szCs w:val="20"/>
        </w:rPr>
        <w:t>Boundaries of European Private International Law</w:t>
      </w:r>
      <w:r w:rsidRPr="008800B6">
        <w:rPr>
          <w:rFonts w:ascii="Times New Roman" w:hAnsi="Times New Roman" w:cs="Times New Roman"/>
          <w:sz w:val="20"/>
          <w:szCs w:val="20"/>
        </w:rPr>
        <w:t xml:space="preserve"> (</w:t>
      </w:r>
      <w:proofErr w:type="spellStart"/>
      <w:r w:rsidRPr="008800B6">
        <w:rPr>
          <w:rFonts w:ascii="Times New Roman" w:hAnsi="Times New Roman" w:cs="Times New Roman"/>
          <w:sz w:val="20"/>
          <w:szCs w:val="20"/>
        </w:rPr>
        <w:t>Bruylant</w:t>
      </w:r>
      <w:proofErr w:type="spellEnd"/>
      <w:r w:rsidRPr="008800B6">
        <w:rPr>
          <w:rFonts w:ascii="Times New Roman" w:hAnsi="Times New Roman" w:cs="Times New Roman"/>
          <w:sz w:val="20"/>
          <w:szCs w:val="20"/>
        </w:rPr>
        <w:t xml:space="preserve"> 2015) 287</w:t>
      </w:r>
      <w:r w:rsidR="00D5692B" w:rsidRPr="008800B6">
        <w:rPr>
          <w:rFonts w:ascii="Times New Roman" w:hAnsi="Times New Roman" w:cs="Times New Roman"/>
          <w:sz w:val="20"/>
          <w:szCs w:val="20"/>
        </w:rPr>
        <w:t xml:space="preserve">; and Jayne Holliday, </w:t>
      </w:r>
      <w:r w:rsidR="00D5692B" w:rsidRPr="008800B6">
        <w:rPr>
          <w:rFonts w:ascii="Times New Roman" w:hAnsi="Times New Roman" w:cs="Times New Roman"/>
          <w:i/>
          <w:iCs/>
          <w:sz w:val="20"/>
          <w:szCs w:val="20"/>
        </w:rPr>
        <w:t>Clawback Law in the Context of Succession</w:t>
      </w:r>
      <w:r w:rsidR="00D5692B" w:rsidRPr="008800B6">
        <w:rPr>
          <w:rFonts w:ascii="Times New Roman" w:hAnsi="Times New Roman" w:cs="Times New Roman"/>
          <w:sz w:val="20"/>
          <w:szCs w:val="20"/>
        </w:rPr>
        <w:t xml:space="preserve"> (Hart Publishing 2020)</w:t>
      </w:r>
      <w:r w:rsidR="00D33B69" w:rsidRPr="008800B6">
        <w:rPr>
          <w:rFonts w:ascii="Times New Roman" w:hAnsi="Times New Roman" w:cs="Times New Roman"/>
          <w:sz w:val="20"/>
          <w:szCs w:val="20"/>
        </w:rPr>
        <w:t>.</w:t>
      </w:r>
    </w:p>
  </w:footnote>
  <w:footnote w:id="11">
    <w:p w14:paraId="5B6300D9" w14:textId="686D8963" w:rsidR="003E7292" w:rsidRPr="008800B6" w:rsidRDefault="003E7292" w:rsidP="00E16B37">
      <w:pPr>
        <w:jc w:val="both"/>
        <w:rPr>
          <w:rFonts w:ascii="Times New Roman" w:hAnsi="Times New Roman" w:cs="Times New Roman"/>
          <w:sz w:val="20"/>
          <w:szCs w:val="20"/>
        </w:rPr>
      </w:pPr>
      <w:r w:rsidRPr="008800B6">
        <w:rPr>
          <w:rStyle w:val="FootnoteReference"/>
          <w:rFonts w:ascii="Times New Roman" w:hAnsi="Times New Roman" w:cs="Times New Roman"/>
          <w:sz w:val="20"/>
          <w:szCs w:val="20"/>
        </w:rPr>
        <w:footnoteRef/>
      </w:r>
      <w:r w:rsidRPr="008800B6">
        <w:rPr>
          <w:rFonts w:ascii="Times New Roman" w:hAnsi="Times New Roman" w:cs="Times New Roman"/>
          <w:sz w:val="20"/>
          <w:szCs w:val="20"/>
        </w:rPr>
        <w:t xml:space="preserve"> The substantive laws within the EU relating to clawback vary greatly; to the extent that in some Member States it is possible to ‘clawback’ the actual property from the donee or from a third party. In other cases, clawback is restricted to a claim for value from the donee, rather than the actual gift. The prescription period is also extremely variable, ranging from two years (Greece – Article 1836 (2) Civil Code) from the death of the deceased, to thirty years (Belgium – Article 2262 Civil Code) from the death of the deceased. These factors are contrary to common law values attributed to security of title. See Ministry of Justice, European Proposal on Succession and Wills, Consultation Paper, CP41/09, 15. For a comparative analysis of the succession laws of the Member States on the issue of Clawback see Annex I, Appendix I and II by Professor Roderick Paisley within CP41/09</w:t>
      </w:r>
      <w:r w:rsidR="002B29E8" w:rsidRPr="008800B6">
        <w:rPr>
          <w:rFonts w:ascii="Times New Roman" w:hAnsi="Times New Roman" w:cs="Times New Roman"/>
          <w:sz w:val="20"/>
          <w:szCs w:val="20"/>
        </w:rPr>
        <w:t xml:space="preserve"> and Holliday (2020) ibid</w:t>
      </w:r>
      <w:r w:rsidRPr="008800B6">
        <w:rPr>
          <w:rFonts w:ascii="Times New Roman" w:hAnsi="Times New Roman" w:cs="Times New Roman"/>
          <w:sz w:val="20"/>
          <w:szCs w:val="20"/>
        </w:rPr>
        <w:t>.</w:t>
      </w:r>
    </w:p>
  </w:footnote>
  <w:footnote w:id="12">
    <w:p w14:paraId="00245B27" w14:textId="6EABB9D0"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Walter Pintens, ‘Need and Opportunity of Convergence in European Substantive Succession Laws’ in Miriam Anderson and Esther Arroyo i </w:t>
      </w:r>
      <w:proofErr w:type="spellStart"/>
      <w:r w:rsidRPr="008800B6">
        <w:rPr>
          <w:rFonts w:ascii="Times New Roman" w:hAnsi="Times New Roman" w:cs="Times New Roman"/>
          <w:szCs w:val="20"/>
        </w:rPr>
        <w:t>Amayuelas</w:t>
      </w:r>
      <w:proofErr w:type="spellEnd"/>
      <w:r w:rsidRPr="008800B6">
        <w:rPr>
          <w:rFonts w:ascii="Times New Roman" w:hAnsi="Times New Roman" w:cs="Times New Roman"/>
          <w:szCs w:val="20"/>
        </w:rPr>
        <w:t xml:space="preserve"> (eds) </w:t>
      </w:r>
      <w:r w:rsidRPr="008800B6">
        <w:rPr>
          <w:rFonts w:ascii="Times New Roman" w:hAnsi="Times New Roman" w:cs="Times New Roman"/>
          <w:i/>
          <w:szCs w:val="20"/>
        </w:rPr>
        <w:t>The Law of Succession: Testamentary Freedom</w:t>
      </w:r>
      <w:r w:rsidRPr="008800B6">
        <w:rPr>
          <w:rFonts w:ascii="Times New Roman" w:hAnsi="Times New Roman" w:cs="Times New Roman"/>
          <w:szCs w:val="20"/>
        </w:rPr>
        <w:t xml:space="preserve"> (European Law Publishing 2011) 9; Marius J. de Waal, ‘A Comparative Overview’ in Kenneth G.C. Reid et al. (eds), </w:t>
      </w:r>
      <w:r w:rsidRPr="008800B6">
        <w:rPr>
          <w:rFonts w:ascii="Times New Roman" w:hAnsi="Times New Roman" w:cs="Times New Roman"/>
          <w:i/>
          <w:szCs w:val="20"/>
        </w:rPr>
        <w:t>Exploring the Law of Succession Studies National, Historical and Comparative</w:t>
      </w:r>
      <w:r w:rsidRPr="008800B6">
        <w:rPr>
          <w:rFonts w:ascii="Times New Roman" w:hAnsi="Times New Roman" w:cs="Times New Roman"/>
          <w:szCs w:val="20"/>
        </w:rPr>
        <w:t xml:space="preserve"> (Edinburgh University Press 2007) 16.</w:t>
      </w:r>
    </w:p>
  </w:footnote>
  <w:footnote w:id="13">
    <w:p w14:paraId="0C9E6B5F" w14:textId="0BABF4CE" w:rsidR="001041B7" w:rsidRPr="00B53A62" w:rsidRDefault="001041B7">
      <w:pPr>
        <w:pStyle w:val="FootnoteText"/>
        <w:rPr>
          <w:rFonts w:ascii="Times New Roman" w:hAnsi="Times New Roman" w:cs="Times New Roman"/>
          <w:szCs w:val="20"/>
        </w:rPr>
      </w:pPr>
      <w:r w:rsidRPr="00B53A62">
        <w:rPr>
          <w:rStyle w:val="FootnoteReference"/>
          <w:rFonts w:ascii="Times New Roman" w:hAnsi="Times New Roman" w:cs="Times New Roman"/>
          <w:szCs w:val="20"/>
        </w:rPr>
        <w:footnoteRef/>
      </w:r>
      <w:r w:rsidRPr="00B53A62">
        <w:rPr>
          <w:rFonts w:ascii="Times New Roman" w:hAnsi="Times New Roman" w:cs="Times New Roman"/>
          <w:szCs w:val="20"/>
        </w:rPr>
        <w:t xml:space="preserve"> Holliday</w:t>
      </w:r>
      <w:r w:rsidR="00A37A84" w:rsidRPr="008800B6">
        <w:rPr>
          <w:rFonts w:ascii="Times New Roman" w:hAnsi="Times New Roman" w:cs="Times New Roman"/>
          <w:szCs w:val="20"/>
        </w:rPr>
        <w:t xml:space="preserve"> (2020)</w:t>
      </w:r>
      <w:r w:rsidR="00156C49" w:rsidRPr="00B53A62">
        <w:rPr>
          <w:rFonts w:ascii="Times New Roman" w:hAnsi="Times New Roman" w:cs="Times New Roman"/>
          <w:szCs w:val="20"/>
        </w:rPr>
        <w:t>,</w:t>
      </w:r>
      <w:r w:rsidRPr="00B53A62">
        <w:rPr>
          <w:rFonts w:ascii="Times New Roman" w:hAnsi="Times New Roman" w:cs="Times New Roman"/>
          <w:szCs w:val="20"/>
        </w:rPr>
        <w:t xml:space="preserve"> 72.</w:t>
      </w:r>
    </w:p>
  </w:footnote>
  <w:footnote w:id="14">
    <w:p w14:paraId="0DC9A43D" w14:textId="737C4762"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de Waal,16.</w:t>
      </w:r>
    </w:p>
  </w:footnote>
  <w:footnote w:id="15">
    <w:p w14:paraId="0BAE6D11"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Pintens, 16.</w:t>
      </w:r>
    </w:p>
  </w:footnote>
  <w:footnote w:id="16">
    <w:p w14:paraId="3D9AC9CC"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 </w:t>
      </w:r>
    </w:p>
  </w:footnote>
  <w:footnote w:id="17">
    <w:p w14:paraId="763C71FA" w14:textId="1A830F74"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00FB3873" w:rsidRPr="008800B6">
        <w:rPr>
          <w:rFonts w:ascii="Times New Roman" w:hAnsi="Times New Roman" w:cs="Times New Roman"/>
          <w:szCs w:val="20"/>
        </w:rPr>
        <w:t xml:space="preserve"> I</w:t>
      </w:r>
      <w:r w:rsidR="00A37A84" w:rsidRPr="008800B6">
        <w:rPr>
          <w:rFonts w:ascii="Times New Roman" w:hAnsi="Times New Roman" w:cs="Times New Roman"/>
          <w:szCs w:val="20"/>
        </w:rPr>
        <w:t>bi</w:t>
      </w:r>
      <w:r w:rsidR="00FB3873" w:rsidRPr="008800B6">
        <w:rPr>
          <w:rFonts w:ascii="Times New Roman" w:hAnsi="Times New Roman" w:cs="Times New Roman"/>
          <w:szCs w:val="20"/>
        </w:rPr>
        <w:t xml:space="preserve">d., </w:t>
      </w:r>
      <w:proofErr w:type="spellStart"/>
      <w:r w:rsidR="00FB3873" w:rsidRPr="008800B6">
        <w:rPr>
          <w:rFonts w:ascii="Times New Roman" w:hAnsi="Times New Roman" w:cs="Times New Roman"/>
          <w:szCs w:val="20"/>
        </w:rPr>
        <w:t>eg</w:t>
      </w:r>
      <w:proofErr w:type="spellEnd"/>
      <w:r w:rsidR="00FB3873" w:rsidRPr="008800B6">
        <w:rPr>
          <w:rFonts w:ascii="Times New Roman" w:hAnsi="Times New Roman" w:cs="Times New Roman"/>
          <w:szCs w:val="20"/>
        </w:rPr>
        <w:t>,</w:t>
      </w:r>
      <w:r w:rsidRPr="008800B6">
        <w:rPr>
          <w:rFonts w:ascii="Times New Roman" w:hAnsi="Times New Roman" w:cs="Times New Roman"/>
          <w:szCs w:val="20"/>
        </w:rPr>
        <w:t xml:space="preserve"> Austria, France, Germany, Netherlands, 16-7.</w:t>
      </w:r>
    </w:p>
  </w:footnote>
  <w:footnote w:id="18">
    <w:p w14:paraId="07ED7232" w14:textId="4D044E8F"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1000.</w:t>
      </w:r>
    </w:p>
  </w:footnote>
  <w:footnote w:id="19">
    <w:p w14:paraId="3B428AB5" w14:textId="631AB755"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Geert Van </w:t>
      </w:r>
      <w:proofErr w:type="spellStart"/>
      <w:r w:rsidRPr="008800B6">
        <w:rPr>
          <w:rFonts w:ascii="Times New Roman" w:hAnsi="Times New Roman" w:cs="Times New Roman"/>
          <w:szCs w:val="20"/>
        </w:rPr>
        <w:t>Calster</w:t>
      </w:r>
      <w:proofErr w:type="spellEnd"/>
      <w:r w:rsidRPr="008800B6">
        <w:rPr>
          <w:rFonts w:ascii="Times New Roman" w:hAnsi="Times New Roman" w:cs="Times New Roman"/>
          <w:szCs w:val="20"/>
        </w:rPr>
        <w:t xml:space="preserve">, </w:t>
      </w:r>
      <w:r w:rsidRPr="008800B6">
        <w:rPr>
          <w:rFonts w:ascii="Times New Roman" w:hAnsi="Times New Roman" w:cs="Times New Roman"/>
          <w:i/>
          <w:szCs w:val="20"/>
        </w:rPr>
        <w:t xml:space="preserve">European Private International Law </w:t>
      </w:r>
      <w:r w:rsidRPr="008800B6">
        <w:rPr>
          <w:rFonts w:ascii="Times New Roman" w:hAnsi="Times New Roman" w:cs="Times New Roman"/>
          <w:szCs w:val="20"/>
        </w:rPr>
        <w:t>(Hart Publishing 2013) 3.</w:t>
      </w:r>
    </w:p>
  </w:footnote>
  <w:footnote w:id="20">
    <w:p w14:paraId="02D0117B" w14:textId="433FC3E5" w:rsidR="003E7292" w:rsidRPr="008800B6" w:rsidRDefault="003E7292" w:rsidP="00E16B37">
      <w:pPr>
        <w:jc w:val="both"/>
        <w:rPr>
          <w:rFonts w:ascii="Times New Roman" w:hAnsi="Times New Roman" w:cs="Times New Roman"/>
          <w:sz w:val="20"/>
          <w:szCs w:val="20"/>
        </w:rPr>
      </w:pPr>
      <w:r w:rsidRPr="008800B6">
        <w:rPr>
          <w:rStyle w:val="FootnoteReference"/>
          <w:rFonts w:ascii="Times New Roman" w:hAnsi="Times New Roman" w:cs="Times New Roman"/>
          <w:sz w:val="20"/>
          <w:szCs w:val="20"/>
        </w:rPr>
        <w:footnoteRef/>
      </w:r>
      <w:r w:rsidRPr="008800B6">
        <w:rPr>
          <w:rFonts w:ascii="Times New Roman" w:hAnsi="Times New Roman" w:cs="Times New Roman"/>
          <w:sz w:val="20"/>
          <w:szCs w:val="20"/>
        </w:rPr>
        <w:t xml:space="preserve"> Succession Regulation, Rec. 82. Scottish Government Consultation on Technical Issues of Succession (Scottish Government 2014) &lt;www.gov.scot/Resource/0045/00457666.pdf&gt; accessed 18 December 2015: ‘In 2012 the EU Regulation (No 650/2012) on Succession was adopted. The UK, as agreed with Scottish Ministers, will not be party to this Regulation when it comes into force in 2015’, 5.1.</w:t>
      </w:r>
    </w:p>
  </w:footnote>
  <w:footnote w:id="21">
    <w:p w14:paraId="033B595B" w14:textId="4DFD9867" w:rsidR="003E7292" w:rsidRPr="008800B6" w:rsidRDefault="003E7292" w:rsidP="00E16B37">
      <w:pPr>
        <w:pStyle w:val="FootnoteText"/>
        <w:jc w:val="both"/>
        <w:rPr>
          <w:rFonts w:ascii="Times New Roman" w:hAnsi="Times New Roman" w:cs="Times New Roman"/>
          <w:szCs w:val="20"/>
          <w:lang w:val="en-US"/>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w:t>
      </w:r>
      <w:r w:rsidR="0069573A" w:rsidRPr="008800B6">
        <w:rPr>
          <w:rFonts w:ascii="Times New Roman" w:hAnsi="Times New Roman" w:cs="Times New Roman"/>
          <w:szCs w:val="20"/>
        </w:rPr>
        <w:t xml:space="preserve">Elizabeth </w:t>
      </w:r>
      <w:r w:rsidRPr="008800B6">
        <w:rPr>
          <w:rFonts w:ascii="Times New Roman" w:hAnsi="Times New Roman" w:cs="Times New Roman"/>
          <w:szCs w:val="20"/>
        </w:rPr>
        <w:t xml:space="preserve">Crawford and </w:t>
      </w:r>
      <w:r w:rsidR="0069573A" w:rsidRPr="008800B6">
        <w:rPr>
          <w:rFonts w:ascii="Times New Roman" w:hAnsi="Times New Roman" w:cs="Times New Roman"/>
          <w:szCs w:val="20"/>
        </w:rPr>
        <w:t xml:space="preserve">Janeen </w:t>
      </w:r>
      <w:r w:rsidRPr="008800B6">
        <w:rPr>
          <w:rFonts w:ascii="Times New Roman" w:hAnsi="Times New Roman" w:cs="Times New Roman"/>
          <w:szCs w:val="20"/>
        </w:rPr>
        <w:t>Carruthers</w:t>
      </w:r>
      <w:r w:rsidR="0069573A" w:rsidRPr="008800B6">
        <w:rPr>
          <w:rFonts w:ascii="Times New Roman" w:hAnsi="Times New Roman" w:cs="Times New Roman"/>
          <w:szCs w:val="20"/>
        </w:rPr>
        <w:t xml:space="preserve">, </w:t>
      </w:r>
      <w:r w:rsidR="0069573A" w:rsidRPr="00B53A62">
        <w:rPr>
          <w:rFonts w:ascii="Times New Roman" w:hAnsi="Times New Roman" w:cs="Times New Roman"/>
          <w:i/>
          <w:iCs/>
          <w:szCs w:val="20"/>
        </w:rPr>
        <w:t>International Private Law: A Scots Perspective</w:t>
      </w:r>
      <w:r w:rsidR="0069573A" w:rsidRPr="008800B6">
        <w:rPr>
          <w:rFonts w:ascii="Times New Roman" w:hAnsi="Times New Roman" w:cs="Times New Roman"/>
          <w:szCs w:val="20"/>
        </w:rPr>
        <w:t xml:space="preserve"> (W Green 4</w:t>
      </w:r>
      <w:r w:rsidR="0069573A" w:rsidRPr="00B53A62">
        <w:rPr>
          <w:rFonts w:ascii="Times New Roman" w:hAnsi="Times New Roman" w:cs="Times New Roman"/>
          <w:szCs w:val="20"/>
          <w:vertAlign w:val="superscript"/>
        </w:rPr>
        <w:t>th</w:t>
      </w:r>
      <w:r w:rsidR="0069573A" w:rsidRPr="008800B6">
        <w:rPr>
          <w:rFonts w:ascii="Times New Roman" w:hAnsi="Times New Roman" w:cs="Times New Roman"/>
          <w:szCs w:val="20"/>
        </w:rPr>
        <w:t xml:space="preserve"> edn 2015) 677 and 697-709</w:t>
      </w:r>
      <w:r w:rsidRPr="008800B6">
        <w:rPr>
          <w:rFonts w:ascii="Times New Roman" w:hAnsi="Times New Roman" w:cs="Times New Roman"/>
          <w:szCs w:val="20"/>
        </w:rPr>
        <w:t>.</w:t>
      </w:r>
    </w:p>
  </w:footnote>
  <w:footnote w:id="22">
    <w:p w14:paraId="16DF97FC"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Succession Regulation, Art. 22.</w:t>
      </w:r>
    </w:p>
  </w:footnote>
  <w:footnote w:id="23">
    <w:p w14:paraId="1AD65132" w14:textId="53A9BC0C"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Gregor </w:t>
      </w:r>
      <w:proofErr w:type="spellStart"/>
      <w:r w:rsidRPr="008800B6">
        <w:rPr>
          <w:rFonts w:ascii="Times New Roman" w:hAnsi="Times New Roman" w:cs="Times New Roman"/>
          <w:szCs w:val="20"/>
        </w:rPr>
        <w:t>Christandl</w:t>
      </w:r>
      <w:proofErr w:type="spellEnd"/>
      <w:r w:rsidRPr="008800B6">
        <w:rPr>
          <w:rFonts w:ascii="Times New Roman" w:hAnsi="Times New Roman" w:cs="Times New Roman"/>
          <w:szCs w:val="20"/>
        </w:rPr>
        <w:t>, ‘Multi-Unit States in European Union Private International Law’ (2013) 9 JPIL 219, 233.</w:t>
      </w:r>
    </w:p>
  </w:footnote>
  <w:footnote w:id="24">
    <w:p w14:paraId="2AF5B54A" w14:textId="36F7F50C"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Jayne Holliday, ‘Characterisation within Private International Law: Maintenance or Succession?’ in Paul Beaumont et al. (eds), </w:t>
      </w:r>
      <w:r w:rsidRPr="008800B6">
        <w:rPr>
          <w:rFonts w:ascii="Times New Roman" w:hAnsi="Times New Roman" w:cs="Times New Roman"/>
          <w:i/>
          <w:szCs w:val="20"/>
        </w:rPr>
        <w:t>Recovery of Maintenance in the EU and Worldwide</w:t>
      </w:r>
      <w:r w:rsidRPr="008800B6">
        <w:rPr>
          <w:rFonts w:ascii="Times New Roman" w:hAnsi="Times New Roman" w:cs="Times New Roman"/>
          <w:szCs w:val="20"/>
        </w:rPr>
        <w:t xml:space="preserve"> (Hart</w:t>
      </w:r>
      <w:r w:rsidR="009641AB" w:rsidRPr="008800B6">
        <w:rPr>
          <w:rFonts w:ascii="Times New Roman" w:hAnsi="Times New Roman" w:cs="Times New Roman"/>
          <w:szCs w:val="20"/>
        </w:rPr>
        <w:t xml:space="preserve"> Publishing</w:t>
      </w:r>
      <w:r w:rsidRPr="008800B6">
        <w:rPr>
          <w:rFonts w:ascii="Times New Roman" w:hAnsi="Times New Roman" w:cs="Times New Roman"/>
          <w:szCs w:val="20"/>
        </w:rPr>
        <w:t xml:space="preserve"> 2014) 443, esp. 446-53. Garb and Wood, 260-1, 631-2. </w:t>
      </w:r>
    </w:p>
  </w:footnote>
  <w:footnote w:id="25">
    <w:p w14:paraId="2F389C25"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Succession Regulation, Art. 34(2).</w:t>
      </w:r>
    </w:p>
  </w:footnote>
  <w:footnote w:id="26">
    <w:p w14:paraId="29CAFD20"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Succession Regulation, Art. 21.</w:t>
      </w:r>
    </w:p>
  </w:footnote>
  <w:footnote w:id="27">
    <w:p w14:paraId="6B5D8B9D" w14:textId="293B47BB"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w:t>
      </w:r>
      <w:r w:rsidR="00A37A84" w:rsidRPr="008800B6">
        <w:rPr>
          <w:rFonts w:ascii="Times New Roman" w:hAnsi="Times New Roman" w:cs="Times New Roman"/>
          <w:szCs w:val="20"/>
        </w:rPr>
        <w:t>Holliday (2020) 159</w:t>
      </w:r>
      <w:r w:rsidRPr="008800B6">
        <w:rPr>
          <w:rFonts w:ascii="Times New Roman" w:hAnsi="Times New Roman" w:cs="Times New Roman"/>
          <w:szCs w:val="20"/>
        </w:rPr>
        <w:t>.</w:t>
      </w:r>
    </w:p>
  </w:footnote>
  <w:footnote w:id="28">
    <w:p w14:paraId="7EC201D0" w14:textId="623B8EAC"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Art. 1(2)(f) of the Brussels I-</w:t>
      </w:r>
      <w:r w:rsidRPr="008800B6">
        <w:rPr>
          <w:rFonts w:ascii="Times New Roman" w:hAnsi="Times New Roman" w:cs="Times New Roman"/>
          <w:i/>
          <w:szCs w:val="20"/>
        </w:rPr>
        <w:t>bis</w:t>
      </w:r>
      <w:r w:rsidRPr="008800B6">
        <w:rPr>
          <w:rFonts w:ascii="Times New Roman" w:hAnsi="Times New Roman" w:cs="Times New Roman"/>
          <w:szCs w:val="20"/>
        </w:rPr>
        <w:t xml:space="preserve"> Regulation</w:t>
      </w:r>
      <w:r w:rsidR="0099618B" w:rsidRPr="008800B6">
        <w:rPr>
          <w:rFonts w:ascii="Times New Roman" w:hAnsi="Times New Roman" w:cs="Times New Roman"/>
          <w:szCs w:val="20"/>
        </w:rPr>
        <w:t>,</w:t>
      </w:r>
      <w:r w:rsidRPr="008800B6">
        <w:rPr>
          <w:rFonts w:ascii="Times New Roman" w:hAnsi="Times New Roman" w:cs="Times New Roman"/>
          <w:szCs w:val="20"/>
        </w:rPr>
        <w:t xml:space="preserve"> Art. 1(2)(a) of the Brussels I Regulation</w:t>
      </w:r>
      <w:r w:rsidR="0099618B" w:rsidRPr="008800B6">
        <w:rPr>
          <w:rFonts w:ascii="Times New Roman" w:hAnsi="Times New Roman" w:cs="Times New Roman"/>
          <w:szCs w:val="20"/>
        </w:rPr>
        <w:t xml:space="preserve"> and of the Lugano Convention 2007</w:t>
      </w:r>
      <w:r w:rsidRPr="008800B6">
        <w:rPr>
          <w:rFonts w:ascii="Times New Roman" w:hAnsi="Times New Roman" w:cs="Times New Roman"/>
          <w:szCs w:val="20"/>
        </w:rPr>
        <w:t>.</w:t>
      </w:r>
    </w:p>
  </w:footnote>
  <w:footnote w:id="29">
    <w:p w14:paraId="73CC8B76" w14:textId="16EAB37F"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374-94.</w:t>
      </w:r>
    </w:p>
  </w:footnote>
  <w:footnote w:id="30">
    <w:p w14:paraId="090F144C" w14:textId="6F30B070"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395-402 and 1028.</w:t>
      </w:r>
    </w:p>
  </w:footnote>
  <w:footnote w:id="31">
    <w:p w14:paraId="228A66C7"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Admittedly the authorities of the habitual residence of the deceased might be able to ensure that the forced heirs are paid their full entitlement under that law from the rest of the </w:t>
      </w:r>
      <w:proofErr w:type="gramStart"/>
      <w:r w:rsidRPr="008800B6">
        <w:rPr>
          <w:rFonts w:ascii="Times New Roman" w:hAnsi="Times New Roman" w:cs="Times New Roman"/>
          <w:szCs w:val="20"/>
        </w:rPr>
        <w:t>estate</w:t>
      </w:r>
      <w:proofErr w:type="gramEnd"/>
      <w:r w:rsidRPr="008800B6">
        <w:rPr>
          <w:rFonts w:ascii="Times New Roman" w:hAnsi="Times New Roman" w:cs="Times New Roman"/>
          <w:szCs w:val="20"/>
        </w:rPr>
        <w:t xml:space="preserve"> but this may not always be possible when a lot of the deceased’s estate is in immoveable property in third States.</w:t>
      </w:r>
    </w:p>
  </w:footnote>
  <w:footnote w:id="32">
    <w:p w14:paraId="3295987E" w14:textId="14560C9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Europa Press Release, </w:t>
      </w:r>
      <w:r w:rsidRPr="008800B6">
        <w:rPr>
          <w:rFonts w:ascii="Times New Roman" w:hAnsi="Times New Roman" w:cs="Times New Roman"/>
          <w:i/>
          <w:szCs w:val="20"/>
        </w:rPr>
        <w:t>‘The Commission proposes to simplify the settlement of international successions and to make the rules governing them more predictable.</w:t>
      </w:r>
      <w:r w:rsidRPr="008800B6">
        <w:rPr>
          <w:rFonts w:ascii="Times New Roman" w:hAnsi="Times New Roman" w:cs="Times New Roman"/>
          <w:szCs w:val="20"/>
        </w:rPr>
        <w:t xml:space="preserve">’ (2009) Brussels, </w:t>
      </w:r>
      <w:r w:rsidR="00D37DE8" w:rsidRPr="008800B6">
        <w:rPr>
          <w:rFonts w:ascii="Times New Roman" w:hAnsi="Times New Roman" w:cs="Times New Roman"/>
          <w:szCs w:val="20"/>
        </w:rPr>
        <w:t xml:space="preserve">at </w:t>
      </w:r>
      <w:r w:rsidRPr="008800B6">
        <w:rPr>
          <w:rFonts w:ascii="Times New Roman" w:hAnsi="Times New Roman" w:cs="Times New Roman"/>
          <w:szCs w:val="20"/>
        </w:rPr>
        <w:t>&lt;europa.eu/rapid/press-release_IP-09-1508_en.htm?locale=en&gt;</w:t>
      </w:r>
      <w:r w:rsidRPr="008800B6">
        <w:rPr>
          <w:rStyle w:val="Hyperlink"/>
          <w:rFonts w:ascii="Times New Roman" w:hAnsi="Times New Roman" w:cs="Times New Roman"/>
          <w:szCs w:val="20"/>
        </w:rPr>
        <w:t xml:space="preserve"> </w:t>
      </w:r>
      <w:r w:rsidRPr="008800B6">
        <w:rPr>
          <w:rFonts w:ascii="Times New Roman" w:hAnsi="Times New Roman" w:cs="Times New Roman"/>
          <w:szCs w:val="20"/>
        </w:rPr>
        <w:t>accessed 9 December 2015,</w:t>
      </w:r>
    </w:p>
  </w:footnote>
  <w:footnote w:id="33">
    <w:p w14:paraId="3007D618" w14:textId="7693C702"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Draft Succession Regulation </w:t>
      </w:r>
      <w:proofErr w:type="gramStart"/>
      <w:r w:rsidRPr="008800B6">
        <w:rPr>
          <w:rFonts w:ascii="Times New Roman" w:hAnsi="Times New Roman" w:cs="Times New Roman"/>
          <w:szCs w:val="20"/>
        </w:rPr>
        <w:t>COM(</w:t>
      </w:r>
      <w:proofErr w:type="gramEnd"/>
      <w:r w:rsidRPr="008800B6">
        <w:rPr>
          <w:rFonts w:ascii="Times New Roman" w:hAnsi="Times New Roman" w:cs="Times New Roman"/>
          <w:szCs w:val="20"/>
        </w:rPr>
        <w:t>2005) 65 final, Art. 16.</w:t>
      </w:r>
    </w:p>
  </w:footnote>
  <w:footnote w:id="34">
    <w:p w14:paraId="37AD12AA"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w:t>
      </w:r>
    </w:p>
  </w:footnote>
  <w:footnote w:id="35">
    <w:p w14:paraId="05B1C33A" w14:textId="7026E096"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Commission Proposal for a Regulation of the European Parliament and of the Council on jurisdiction, applicable law, recognition and enforcement of decisions and authentic instruments in matters of succession and the creation of a European Certificate of Succession, COM</w:t>
      </w:r>
      <w:r w:rsidR="009B584D" w:rsidRPr="008800B6">
        <w:rPr>
          <w:rFonts w:ascii="Times New Roman" w:hAnsi="Times New Roman" w:cs="Times New Roman"/>
          <w:szCs w:val="20"/>
        </w:rPr>
        <w:t xml:space="preserve"> </w:t>
      </w:r>
      <w:r w:rsidRPr="008800B6">
        <w:rPr>
          <w:rFonts w:ascii="Times New Roman" w:hAnsi="Times New Roman" w:cs="Times New Roman"/>
          <w:szCs w:val="20"/>
        </w:rPr>
        <w:t>(2009) 154 final, 14 October 2009, 6.</w:t>
      </w:r>
    </w:p>
  </w:footnote>
  <w:footnote w:id="36">
    <w:p w14:paraId="0F9B35C8" w14:textId="77777777" w:rsidR="003E7292" w:rsidRPr="008800B6" w:rsidRDefault="003E7292" w:rsidP="00E16B37">
      <w:pPr>
        <w:pStyle w:val="FootnoteText"/>
        <w:jc w:val="both"/>
        <w:rPr>
          <w:rFonts w:ascii="Times New Roman" w:hAnsi="Times New Roman" w:cs="Times New Roman"/>
          <w:szCs w:val="20"/>
          <w:lang w:val="en-US"/>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w:t>
      </w:r>
      <w:r w:rsidRPr="008800B6">
        <w:rPr>
          <w:rFonts w:ascii="Times New Roman" w:hAnsi="Times New Roman" w:cs="Times New Roman"/>
          <w:szCs w:val="20"/>
          <w:lang w:val="en-US"/>
        </w:rPr>
        <w:t>Succession Regulation, Art. 4.</w:t>
      </w:r>
    </w:p>
  </w:footnote>
  <w:footnote w:id="37">
    <w:p w14:paraId="506AE57D"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Succession Regulation, Art. 21.</w:t>
      </w:r>
    </w:p>
  </w:footnote>
  <w:footnote w:id="38">
    <w:p w14:paraId="2FF2D037"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Succession Regulation, Art. 21(2). </w:t>
      </w:r>
    </w:p>
  </w:footnote>
  <w:footnote w:id="39">
    <w:p w14:paraId="112AA5BA" w14:textId="715B6CB1"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Chris M.V. Clarkson and Jonathan Hill, </w:t>
      </w:r>
      <w:r w:rsidRPr="008800B6">
        <w:rPr>
          <w:rFonts w:ascii="Times New Roman" w:hAnsi="Times New Roman" w:cs="Times New Roman"/>
          <w:i/>
          <w:szCs w:val="20"/>
        </w:rPr>
        <w:t xml:space="preserve">The Conflict of Laws </w:t>
      </w:r>
      <w:r w:rsidRPr="008800B6">
        <w:rPr>
          <w:rFonts w:ascii="Times New Roman" w:hAnsi="Times New Roman" w:cs="Times New Roman"/>
          <w:szCs w:val="20"/>
        </w:rPr>
        <w:t>(4</w:t>
      </w:r>
      <w:r w:rsidRPr="008800B6">
        <w:rPr>
          <w:rFonts w:ascii="Times New Roman" w:hAnsi="Times New Roman" w:cs="Times New Roman"/>
          <w:szCs w:val="20"/>
          <w:vertAlign w:val="superscript"/>
        </w:rPr>
        <w:t>th</w:t>
      </w:r>
      <w:r w:rsidRPr="008800B6">
        <w:rPr>
          <w:rFonts w:ascii="Times New Roman" w:hAnsi="Times New Roman" w:cs="Times New Roman"/>
          <w:szCs w:val="20"/>
        </w:rPr>
        <w:t xml:space="preserve"> edn, OUP 2011) 341; Eric Clive, ‘The Concept of Habitual Residence’ (1997) </w:t>
      </w:r>
      <w:proofErr w:type="spellStart"/>
      <w:r w:rsidR="005A4862" w:rsidRPr="008800B6">
        <w:rPr>
          <w:rFonts w:ascii="Times New Roman" w:hAnsi="Times New Roman" w:cs="Times New Roman"/>
          <w:szCs w:val="20"/>
        </w:rPr>
        <w:t>Jur</w:t>
      </w:r>
      <w:proofErr w:type="spellEnd"/>
      <w:r w:rsidR="005A4862" w:rsidRPr="008800B6">
        <w:rPr>
          <w:rFonts w:ascii="Times New Roman" w:hAnsi="Times New Roman" w:cs="Times New Roman"/>
          <w:szCs w:val="20"/>
        </w:rPr>
        <w:t xml:space="preserve">. Rev. </w:t>
      </w:r>
      <w:r w:rsidRPr="008800B6">
        <w:rPr>
          <w:rFonts w:ascii="Times New Roman" w:hAnsi="Times New Roman" w:cs="Times New Roman"/>
          <w:szCs w:val="20"/>
        </w:rPr>
        <w:t xml:space="preserve">137; Rhona </w:t>
      </w:r>
      <w:proofErr w:type="spellStart"/>
      <w:r w:rsidRPr="008800B6">
        <w:rPr>
          <w:rFonts w:ascii="Times New Roman" w:hAnsi="Times New Roman" w:cs="Times New Roman"/>
          <w:szCs w:val="20"/>
        </w:rPr>
        <w:t>Schuz</w:t>
      </w:r>
      <w:proofErr w:type="spellEnd"/>
      <w:r w:rsidRPr="008800B6">
        <w:rPr>
          <w:rFonts w:ascii="Times New Roman" w:hAnsi="Times New Roman" w:cs="Times New Roman"/>
          <w:szCs w:val="20"/>
        </w:rPr>
        <w:t xml:space="preserve">, ‘The Hague Child Abduction Convention: Family Law and Private International Law’ (1995) 44 </w:t>
      </w:r>
      <w:r w:rsidR="005A4862" w:rsidRPr="008800B6">
        <w:rPr>
          <w:rFonts w:ascii="Times New Roman" w:hAnsi="Times New Roman" w:cs="Times New Roman"/>
          <w:szCs w:val="20"/>
        </w:rPr>
        <w:t>ICLQ</w:t>
      </w:r>
      <w:r w:rsidRPr="008800B6">
        <w:rPr>
          <w:rFonts w:ascii="Times New Roman" w:hAnsi="Times New Roman" w:cs="Times New Roman"/>
          <w:szCs w:val="20"/>
        </w:rPr>
        <w:t xml:space="preserve"> 771, 789; </w:t>
      </w:r>
      <w:proofErr w:type="spellStart"/>
      <w:r w:rsidRPr="008800B6">
        <w:rPr>
          <w:rFonts w:ascii="Times New Roman" w:hAnsi="Times New Roman" w:cs="Times New Roman"/>
          <w:i/>
          <w:szCs w:val="20"/>
        </w:rPr>
        <w:t>Ikimi</w:t>
      </w:r>
      <w:proofErr w:type="spellEnd"/>
      <w:r w:rsidRPr="008800B6">
        <w:rPr>
          <w:rFonts w:ascii="Times New Roman" w:hAnsi="Times New Roman" w:cs="Times New Roman"/>
          <w:i/>
          <w:szCs w:val="20"/>
        </w:rPr>
        <w:t xml:space="preserve"> v </w:t>
      </w:r>
      <w:proofErr w:type="spellStart"/>
      <w:r w:rsidRPr="008800B6">
        <w:rPr>
          <w:rFonts w:ascii="Times New Roman" w:hAnsi="Times New Roman" w:cs="Times New Roman"/>
          <w:i/>
          <w:szCs w:val="20"/>
        </w:rPr>
        <w:t>Ikimi</w:t>
      </w:r>
      <w:proofErr w:type="spellEnd"/>
      <w:r w:rsidRPr="008800B6">
        <w:rPr>
          <w:rFonts w:ascii="Times New Roman" w:hAnsi="Times New Roman" w:cs="Times New Roman"/>
          <w:szCs w:val="20"/>
        </w:rPr>
        <w:t xml:space="preserve"> [2002] Fam 72 (Divorce); </w:t>
      </w:r>
      <w:r w:rsidRPr="008800B6">
        <w:rPr>
          <w:rFonts w:ascii="Times New Roman" w:hAnsi="Times New Roman" w:cs="Times New Roman"/>
          <w:i/>
          <w:szCs w:val="20"/>
        </w:rPr>
        <w:t xml:space="preserve">Re J (A </w:t>
      </w:r>
      <w:proofErr w:type="gramStart"/>
      <w:r w:rsidRPr="008800B6">
        <w:rPr>
          <w:rFonts w:ascii="Times New Roman" w:hAnsi="Times New Roman" w:cs="Times New Roman"/>
          <w:i/>
          <w:szCs w:val="20"/>
        </w:rPr>
        <w:t>Minor)(</w:t>
      </w:r>
      <w:proofErr w:type="gramEnd"/>
      <w:r w:rsidRPr="008800B6">
        <w:rPr>
          <w:rFonts w:ascii="Times New Roman" w:hAnsi="Times New Roman" w:cs="Times New Roman"/>
          <w:i/>
          <w:szCs w:val="20"/>
        </w:rPr>
        <w:t>Abduction: Custody Rights)</w:t>
      </w:r>
      <w:r w:rsidRPr="008800B6">
        <w:rPr>
          <w:rFonts w:ascii="Times New Roman" w:hAnsi="Times New Roman" w:cs="Times New Roman"/>
          <w:szCs w:val="20"/>
        </w:rPr>
        <w:t xml:space="preserve">[1990] 2 AC 562 (Child Abduction); </w:t>
      </w:r>
      <w:r w:rsidRPr="008800B6">
        <w:rPr>
          <w:rFonts w:ascii="Times New Roman" w:hAnsi="Times New Roman" w:cs="Times New Roman"/>
          <w:i/>
          <w:szCs w:val="20"/>
        </w:rPr>
        <w:t>Nessa v Chief Adjudication Officer</w:t>
      </w:r>
      <w:r w:rsidRPr="008800B6">
        <w:rPr>
          <w:rFonts w:ascii="Times New Roman" w:hAnsi="Times New Roman" w:cs="Times New Roman"/>
          <w:szCs w:val="20"/>
        </w:rPr>
        <w:t xml:space="preserve"> [1997] 1 WLR 1937 (Granting Income Support); </w:t>
      </w:r>
      <w:r w:rsidRPr="008800B6">
        <w:rPr>
          <w:rFonts w:ascii="Times New Roman" w:hAnsi="Times New Roman" w:cs="Times New Roman"/>
          <w:i/>
          <w:szCs w:val="20"/>
        </w:rPr>
        <w:t>R v Barnet LBC ex parte Shah</w:t>
      </w:r>
      <w:r w:rsidRPr="008800B6">
        <w:rPr>
          <w:rFonts w:ascii="Times New Roman" w:hAnsi="Times New Roman" w:cs="Times New Roman"/>
          <w:szCs w:val="20"/>
        </w:rPr>
        <w:t xml:space="preserve"> [1983] 2 AC 309 (Granting loans for University).</w:t>
      </w:r>
    </w:p>
  </w:footnote>
  <w:footnote w:id="40">
    <w:p w14:paraId="2C247895" w14:textId="4F66DED1"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Pippa Rogerson, ‘Habitual Residence the New Domicile?’ (2000) 49 ICLQ</w:t>
      </w:r>
      <w:r w:rsidRPr="008800B6">
        <w:rPr>
          <w:rFonts w:ascii="Times New Roman" w:hAnsi="Times New Roman" w:cs="Times New Roman"/>
          <w:i/>
          <w:szCs w:val="20"/>
        </w:rPr>
        <w:t xml:space="preserve"> </w:t>
      </w:r>
      <w:r w:rsidRPr="008800B6">
        <w:rPr>
          <w:rFonts w:ascii="Times New Roman" w:hAnsi="Times New Roman" w:cs="Times New Roman"/>
          <w:szCs w:val="20"/>
        </w:rPr>
        <w:t>84-107, 101; Clarkson and Hill, 341.</w:t>
      </w:r>
    </w:p>
  </w:footnote>
  <w:footnote w:id="41">
    <w:p w14:paraId="0E32C5D2" w14:textId="21DD501A" w:rsidR="003E7292" w:rsidRPr="008800B6" w:rsidRDefault="003E7292" w:rsidP="00E16B37">
      <w:pPr>
        <w:widowControl w:val="0"/>
        <w:autoSpaceDE w:val="0"/>
        <w:autoSpaceDN w:val="0"/>
        <w:adjustRightInd w:val="0"/>
        <w:jc w:val="both"/>
        <w:rPr>
          <w:rFonts w:ascii="Times New Roman" w:hAnsi="Times New Roman" w:cs="Times New Roman"/>
          <w:sz w:val="20"/>
          <w:szCs w:val="20"/>
        </w:rPr>
      </w:pPr>
      <w:r w:rsidRPr="008800B6">
        <w:rPr>
          <w:rStyle w:val="FootnoteReference"/>
          <w:rFonts w:ascii="Times New Roman" w:hAnsi="Times New Roman" w:cs="Times New Roman"/>
          <w:sz w:val="20"/>
          <w:szCs w:val="20"/>
        </w:rPr>
        <w:footnoteRef/>
      </w:r>
      <w:r w:rsidRPr="008800B6">
        <w:rPr>
          <w:rFonts w:ascii="Times New Roman" w:hAnsi="Times New Roman" w:cs="Times New Roman"/>
          <w:sz w:val="20"/>
          <w:szCs w:val="20"/>
        </w:rPr>
        <w:t xml:space="preserve"> Case C-523/07, </w:t>
      </w:r>
      <w:r w:rsidRPr="008800B6">
        <w:rPr>
          <w:rFonts w:ascii="Times New Roman" w:hAnsi="Times New Roman" w:cs="Times New Roman"/>
          <w:i/>
          <w:sz w:val="20"/>
          <w:szCs w:val="20"/>
        </w:rPr>
        <w:t>A</w:t>
      </w:r>
      <w:r w:rsidRPr="008800B6">
        <w:rPr>
          <w:rFonts w:ascii="Times New Roman" w:hAnsi="Times New Roman" w:cs="Times New Roman"/>
          <w:sz w:val="20"/>
          <w:szCs w:val="20"/>
        </w:rPr>
        <w:t xml:space="preserve">. For a discussion of the lack of clarity in determining habitual residence by the CJEU and the UK Supreme Court see Paul Beaumont and Jayne Holliday, ‘Recent developments on the meaning of habitual residence in alleged child abduction cases’ in Mirela </w:t>
      </w:r>
      <w:proofErr w:type="spellStart"/>
      <w:r w:rsidRPr="008800B6">
        <w:rPr>
          <w:rFonts w:ascii="Times New Roman" w:hAnsi="Times New Roman" w:cs="Times New Roman"/>
          <w:sz w:val="20"/>
          <w:szCs w:val="20"/>
          <w:lang w:val="en-US"/>
        </w:rPr>
        <w:t>Župan</w:t>
      </w:r>
      <w:proofErr w:type="spellEnd"/>
      <w:r w:rsidRPr="008800B6">
        <w:rPr>
          <w:rFonts w:ascii="Times New Roman" w:hAnsi="Times New Roman" w:cs="Times New Roman"/>
          <w:sz w:val="20"/>
          <w:szCs w:val="20"/>
          <w:lang w:val="en-US"/>
        </w:rPr>
        <w:t xml:space="preserve"> (ed.), </w:t>
      </w:r>
      <w:r w:rsidRPr="008800B6">
        <w:rPr>
          <w:rFonts w:ascii="Times New Roman" w:hAnsi="Times New Roman" w:cs="Times New Roman"/>
          <w:i/>
          <w:sz w:val="20"/>
          <w:szCs w:val="20"/>
          <w:lang w:val="en-US"/>
        </w:rPr>
        <w:t>Private International Law in the Jurisprudence of European Courts – Family at Focus</w:t>
      </w:r>
      <w:r w:rsidRPr="008800B6">
        <w:rPr>
          <w:rFonts w:ascii="Times New Roman" w:hAnsi="Times New Roman" w:cs="Times New Roman"/>
          <w:sz w:val="20"/>
          <w:szCs w:val="20"/>
          <w:lang w:val="en-US"/>
        </w:rPr>
        <w:t xml:space="preserve"> (Faculty of Law </w:t>
      </w:r>
      <w:proofErr w:type="spellStart"/>
      <w:r w:rsidRPr="008800B6">
        <w:rPr>
          <w:rFonts w:ascii="Times New Roman" w:hAnsi="Times New Roman" w:cs="Times New Roman"/>
          <w:sz w:val="20"/>
          <w:szCs w:val="20"/>
          <w:lang w:val="en-US"/>
        </w:rPr>
        <w:t>Strossmayer</w:t>
      </w:r>
      <w:proofErr w:type="spellEnd"/>
      <w:r w:rsidRPr="008800B6">
        <w:rPr>
          <w:rFonts w:ascii="Times New Roman" w:hAnsi="Times New Roman" w:cs="Times New Roman"/>
          <w:sz w:val="20"/>
          <w:szCs w:val="20"/>
          <w:lang w:val="en-US"/>
        </w:rPr>
        <w:t xml:space="preserve"> University of Osijek, 2015) 39</w:t>
      </w:r>
      <w:r w:rsidRPr="008800B6">
        <w:rPr>
          <w:rFonts w:ascii="Times New Roman" w:hAnsi="Times New Roman" w:cs="Times New Roman"/>
          <w:sz w:val="20"/>
          <w:szCs w:val="20"/>
        </w:rPr>
        <w:t>.</w:t>
      </w:r>
    </w:p>
  </w:footnote>
  <w:footnote w:id="42">
    <w:p w14:paraId="4CDBCD06" w14:textId="1822933A"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1065.</w:t>
      </w:r>
    </w:p>
  </w:footnote>
  <w:footnote w:id="43">
    <w:p w14:paraId="275540D0"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Succession Regulation, Rec. 7.</w:t>
      </w:r>
    </w:p>
  </w:footnote>
  <w:footnote w:id="44">
    <w:p w14:paraId="0CA4390B" w14:textId="0132D284"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1065.</w:t>
      </w:r>
    </w:p>
  </w:footnote>
  <w:footnote w:id="45">
    <w:p w14:paraId="132D076E" w14:textId="24F92DA9"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the ambiguity created by the exclusion from scope in Art. 1(2)(d) of ‘property rights, interests or assets created or transferred otherwise than by succession’ with the inclusion in Art. 7(2) of a statement that the applicable law governs inter alia: ‘</w:t>
      </w:r>
      <w:r w:rsidRPr="008800B6">
        <w:rPr>
          <w:rFonts w:ascii="Times New Roman" w:hAnsi="Times New Roman" w:cs="Times New Roman"/>
          <w:iCs/>
          <w:szCs w:val="20"/>
        </w:rPr>
        <w:t>c)</w:t>
      </w:r>
      <w:r w:rsidRPr="008800B6">
        <w:rPr>
          <w:rFonts w:ascii="Times New Roman" w:hAnsi="Times New Roman" w:cs="Times New Roman"/>
          <w:szCs w:val="20"/>
        </w:rPr>
        <w:t xml:space="preserve"> any obligation to restore or account for gifts, advancements or legacies when determining the shares of heirs, devisees or legatees; </w:t>
      </w:r>
      <w:r w:rsidRPr="008800B6">
        <w:rPr>
          <w:rFonts w:ascii="Times New Roman" w:hAnsi="Times New Roman" w:cs="Times New Roman"/>
          <w:iCs/>
          <w:szCs w:val="20"/>
        </w:rPr>
        <w:t>d)</w:t>
      </w:r>
      <w:r w:rsidRPr="008800B6">
        <w:rPr>
          <w:rFonts w:ascii="Times New Roman" w:hAnsi="Times New Roman" w:cs="Times New Roman"/>
          <w:szCs w:val="20"/>
        </w:rPr>
        <w:t xml:space="preserve"> the disposable part of the estate, indefeasible interests and other restrictions on dispositions of property upon death’. The Hon. Mr Justice David Hayton gave evidence arguing that from a UK perspective, clawback is excluded from the applicable law under the Hague Succession Convention although Civilian systems could rely on Art. 7(3) ‘to extend the </w:t>
      </w:r>
      <w:r w:rsidRPr="008800B6">
        <w:rPr>
          <w:rFonts w:ascii="Times New Roman" w:hAnsi="Times New Roman" w:cs="Times New Roman"/>
          <w:i/>
          <w:szCs w:val="20"/>
        </w:rPr>
        <w:t xml:space="preserve">lex </w:t>
      </w:r>
      <w:proofErr w:type="spellStart"/>
      <w:r w:rsidRPr="008800B6">
        <w:rPr>
          <w:rFonts w:ascii="Times New Roman" w:hAnsi="Times New Roman" w:cs="Times New Roman"/>
          <w:i/>
          <w:szCs w:val="20"/>
        </w:rPr>
        <w:t>successionis</w:t>
      </w:r>
      <w:proofErr w:type="spellEnd"/>
      <w:r w:rsidRPr="008800B6">
        <w:rPr>
          <w:rFonts w:ascii="Times New Roman" w:hAnsi="Times New Roman" w:cs="Times New Roman"/>
          <w:szCs w:val="20"/>
        </w:rPr>
        <w:t xml:space="preserve"> to those rules except in regard to property that had been the subject of a valid gift unimpeachable by succession law according to the governing </w:t>
      </w:r>
      <w:r w:rsidRPr="008800B6">
        <w:rPr>
          <w:rFonts w:ascii="Times New Roman" w:hAnsi="Times New Roman" w:cs="Times New Roman"/>
          <w:i/>
          <w:szCs w:val="20"/>
        </w:rPr>
        <w:t>lex situs</w:t>
      </w:r>
      <w:r w:rsidRPr="008800B6">
        <w:rPr>
          <w:rFonts w:ascii="Times New Roman" w:hAnsi="Times New Roman" w:cs="Times New Roman"/>
          <w:szCs w:val="20"/>
        </w:rPr>
        <w:t xml:space="preserve"> </w:t>
      </w:r>
      <w:proofErr w:type="spellStart"/>
      <w:r w:rsidRPr="008800B6">
        <w:rPr>
          <w:rFonts w:ascii="Times New Roman" w:hAnsi="Times New Roman" w:cs="Times New Roman"/>
          <w:szCs w:val="20"/>
        </w:rPr>
        <w:t>eg</w:t>
      </w:r>
      <w:proofErr w:type="spellEnd"/>
      <w:r w:rsidRPr="008800B6">
        <w:rPr>
          <w:rFonts w:ascii="Times New Roman" w:hAnsi="Times New Roman" w:cs="Times New Roman"/>
          <w:szCs w:val="20"/>
        </w:rPr>
        <w:t xml:space="preserve"> English or Irish law’, see The EU’s Regulation of Succession – European Union Committee, Written Evidence, (European Union Committee Publications, March 2010). </w:t>
      </w:r>
      <w:r w:rsidR="00D37DE8" w:rsidRPr="008800B6">
        <w:rPr>
          <w:rFonts w:ascii="Times New Roman" w:hAnsi="Times New Roman" w:cs="Times New Roman"/>
          <w:szCs w:val="20"/>
        </w:rPr>
        <w:t xml:space="preserve">At </w:t>
      </w:r>
      <w:r w:rsidRPr="008800B6">
        <w:rPr>
          <w:rFonts w:ascii="Times New Roman" w:hAnsi="Times New Roman" w:cs="Times New Roman"/>
          <w:szCs w:val="20"/>
        </w:rPr>
        <w:t xml:space="preserve">&lt;www.publications.parliament.uk/pa/ld200910/ldselect/ldeucom/75/75we05.htm&gt; accessed 20 September 2014. David Hayton’s views on the matter are important as he was a member of the UK delegation that negotiated the Convention. However, the matter is not clear from the Waters Explanatory Report, see &lt;www.hcch.net/en/publications-and-studies/details4/?pid=2959&amp;dtid=3&gt; accessed 10 December 2015, as he does not expressly comment on the issue of clawback. However, what he does say at para. 79 of his report suggests that clawback does fall within the scope of the applicable law under the Convention. Waters states that the applicable law under the Convention does apply to ‘attempts by the deceased – in his lifetime . . . – to avoid reserve, </w:t>
      </w:r>
      <w:proofErr w:type="spellStart"/>
      <w:r w:rsidRPr="008800B6">
        <w:rPr>
          <w:rFonts w:ascii="Times New Roman" w:hAnsi="Times New Roman" w:cs="Times New Roman"/>
          <w:i/>
          <w:szCs w:val="20"/>
        </w:rPr>
        <w:t>légitime</w:t>
      </w:r>
      <w:proofErr w:type="spellEnd"/>
      <w:r w:rsidRPr="008800B6">
        <w:rPr>
          <w:rFonts w:ascii="Times New Roman" w:hAnsi="Times New Roman" w:cs="Times New Roman"/>
          <w:szCs w:val="20"/>
        </w:rPr>
        <w:t xml:space="preserve">, forced shares, or judicial discretionary allocation of assets to immediate family members’. </w:t>
      </w:r>
    </w:p>
  </w:footnote>
  <w:footnote w:id="46">
    <w:p w14:paraId="4182D5C9"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w:t>
      </w:r>
    </w:p>
  </w:footnote>
  <w:footnote w:id="47">
    <w:p w14:paraId="684539A9" w14:textId="39619E69" w:rsidR="00AB48D2" w:rsidRPr="00A71E24" w:rsidRDefault="00AB48D2">
      <w:pPr>
        <w:pStyle w:val="FootnoteText"/>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For an explanation of </w:t>
      </w:r>
      <w:r w:rsidRPr="00A71E24">
        <w:rPr>
          <w:rFonts w:ascii="Times New Roman" w:hAnsi="Times New Roman" w:cs="Times New Roman"/>
          <w:szCs w:val="20"/>
        </w:rPr>
        <w:t xml:space="preserve">the distinction between collation and clawback see Holliday </w:t>
      </w:r>
      <w:r w:rsidR="001C4553" w:rsidRPr="00A71E24">
        <w:rPr>
          <w:rFonts w:ascii="Times New Roman" w:hAnsi="Times New Roman" w:cs="Times New Roman"/>
          <w:szCs w:val="20"/>
        </w:rPr>
        <w:t>(2020)</w:t>
      </w:r>
      <w:r w:rsidRPr="00A71E24">
        <w:rPr>
          <w:rFonts w:ascii="Times New Roman" w:hAnsi="Times New Roman" w:cs="Times New Roman"/>
          <w:szCs w:val="20"/>
        </w:rPr>
        <w:t xml:space="preserve"> 4.</w:t>
      </w:r>
    </w:p>
  </w:footnote>
  <w:footnote w:id="48">
    <w:p w14:paraId="53505D28" w14:textId="7EE25F04"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the Waters Report, para. 78.</w:t>
      </w:r>
    </w:p>
  </w:footnote>
  <w:footnote w:id="49">
    <w:p w14:paraId="4D1298E7" w14:textId="4256B356"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supra </w:t>
      </w:r>
      <w:proofErr w:type="spellStart"/>
      <w:r w:rsidRPr="008800B6">
        <w:rPr>
          <w:rFonts w:ascii="Times New Roman" w:hAnsi="Times New Roman" w:cs="Times New Roman"/>
          <w:szCs w:val="20"/>
        </w:rPr>
        <w:t>fn</w:t>
      </w:r>
      <w:proofErr w:type="spellEnd"/>
      <w:r w:rsidRPr="008800B6">
        <w:rPr>
          <w:rFonts w:ascii="Times New Roman" w:hAnsi="Times New Roman" w:cs="Times New Roman"/>
          <w:szCs w:val="20"/>
        </w:rPr>
        <w:t xml:space="preserve"> 4</w:t>
      </w:r>
      <w:r w:rsidR="001C4553" w:rsidRPr="008800B6">
        <w:rPr>
          <w:rFonts w:ascii="Times New Roman" w:hAnsi="Times New Roman" w:cs="Times New Roman"/>
          <w:szCs w:val="20"/>
        </w:rPr>
        <w:t>3</w:t>
      </w:r>
      <w:r w:rsidRPr="008800B6">
        <w:rPr>
          <w:rFonts w:ascii="Times New Roman" w:hAnsi="Times New Roman" w:cs="Times New Roman"/>
          <w:szCs w:val="20"/>
        </w:rPr>
        <w:t>.</w:t>
      </w:r>
    </w:p>
  </w:footnote>
  <w:footnote w:id="50">
    <w:p w14:paraId="5D80B9CC" w14:textId="6AE4E8F8" w:rsidR="003E7292" w:rsidRPr="008800B6" w:rsidRDefault="003E7292" w:rsidP="00E16B37">
      <w:pPr>
        <w:pStyle w:val="FootnoteText"/>
        <w:jc w:val="both"/>
        <w:rPr>
          <w:rFonts w:ascii="Times New Roman" w:hAnsi="Times New Roman" w:cs="Times New Roman"/>
          <w:color w:val="000000" w:themeColor="text1"/>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CP41/09, 8. S. 10 of the 1975 Act allows a person who has made a claim for financial provision under the Act to make a claim against any person who benefitted from a gift given by the deceased less than six years before the death for money so that the claim for financial provision can be satisfied. However, this can be seen as more restrictive than a typical clawback provision because it requires the claimant to satisfy the court that the gift was made by: ‘</w:t>
      </w:r>
      <w:r w:rsidRPr="008800B6">
        <w:rPr>
          <w:rFonts w:ascii="Times New Roman" w:hAnsi="Times New Roman" w:cs="Times New Roman"/>
          <w:szCs w:val="20"/>
          <w:lang w:val="en"/>
        </w:rPr>
        <w:t xml:space="preserve">the deceased with the intention of defeating an application for financial provision under this Act’. Proving an </w:t>
      </w:r>
      <w:r w:rsidR="00B41B24" w:rsidRPr="008800B6">
        <w:rPr>
          <w:rFonts w:ascii="Times New Roman" w:hAnsi="Times New Roman" w:cs="Times New Roman"/>
          <w:szCs w:val="20"/>
          <w:lang w:val="en"/>
        </w:rPr>
        <w:t>‘</w:t>
      </w:r>
      <w:r w:rsidRPr="008800B6">
        <w:rPr>
          <w:rFonts w:ascii="Times New Roman" w:hAnsi="Times New Roman" w:cs="Times New Roman"/>
          <w:szCs w:val="20"/>
          <w:lang w:val="en"/>
        </w:rPr>
        <w:t>intention</w:t>
      </w:r>
      <w:r w:rsidR="00B41B24" w:rsidRPr="008800B6">
        <w:rPr>
          <w:rFonts w:ascii="Times New Roman" w:hAnsi="Times New Roman" w:cs="Times New Roman"/>
          <w:szCs w:val="20"/>
          <w:lang w:val="en"/>
        </w:rPr>
        <w:t>’</w:t>
      </w:r>
      <w:r w:rsidRPr="008800B6">
        <w:rPr>
          <w:rFonts w:ascii="Times New Roman" w:hAnsi="Times New Roman" w:cs="Times New Roman"/>
          <w:szCs w:val="20"/>
          <w:lang w:val="en"/>
        </w:rPr>
        <w:t xml:space="preserve"> on the part of the deceased to defeat an application for financial provision will be difficult because it is always hard to prove what a dead person intended by their acts when alive and because the gift would have to divest the deceased of most of his assets if it is to have the effect of ‘defeating’ an application for financial provision under the 1975 Act. </w:t>
      </w:r>
      <w:r w:rsidRPr="008800B6">
        <w:rPr>
          <w:rFonts w:ascii="Times New Roman" w:hAnsi="Times New Roman" w:cs="Times New Roman"/>
          <w:szCs w:val="20"/>
        </w:rPr>
        <w:t xml:space="preserve">See also Gareth Miller, </w:t>
      </w:r>
      <w:r w:rsidRPr="008800B6">
        <w:rPr>
          <w:rFonts w:ascii="Times New Roman" w:hAnsi="Times New Roman" w:cs="Times New Roman"/>
          <w:i/>
          <w:szCs w:val="20"/>
        </w:rPr>
        <w:t>International Aspects of Succession</w:t>
      </w:r>
      <w:r w:rsidRPr="008800B6">
        <w:rPr>
          <w:rFonts w:ascii="Times New Roman" w:hAnsi="Times New Roman" w:cs="Times New Roman"/>
          <w:szCs w:val="20"/>
        </w:rPr>
        <w:t xml:space="preserve"> (Ashgate, 2000) 227. There is a similar provision in Northern Ireland </w:t>
      </w:r>
      <w:r w:rsidRPr="008800B6">
        <w:rPr>
          <w:rFonts w:ascii="Times New Roman" w:hAnsi="Times New Roman" w:cs="Times New Roman"/>
          <w:color w:val="000000" w:themeColor="text1"/>
          <w:szCs w:val="20"/>
        </w:rPr>
        <w:t xml:space="preserve">in the </w:t>
      </w:r>
      <w:r w:rsidRPr="008800B6">
        <w:rPr>
          <w:rFonts w:ascii="Times New Roman" w:hAnsi="Times New Roman" w:cs="Times New Roman"/>
          <w:color w:val="000000" w:themeColor="text1"/>
          <w:szCs w:val="20"/>
          <w:lang w:val="en-US"/>
        </w:rPr>
        <w:t xml:space="preserve">Inheritance (Provision for Family and </w:t>
      </w:r>
      <w:proofErr w:type="spellStart"/>
      <w:r w:rsidRPr="008800B6">
        <w:rPr>
          <w:rFonts w:ascii="Times New Roman" w:hAnsi="Times New Roman" w:cs="Times New Roman"/>
          <w:color w:val="000000" w:themeColor="text1"/>
          <w:szCs w:val="20"/>
          <w:lang w:val="en-US"/>
        </w:rPr>
        <w:t>Dependants</w:t>
      </w:r>
      <w:proofErr w:type="spellEnd"/>
      <w:r w:rsidRPr="008800B6">
        <w:rPr>
          <w:rFonts w:ascii="Times New Roman" w:hAnsi="Times New Roman" w:cs="Times New Roman"/>
          <w:color w:val="000000" w:themeColor="text1"/>
          <w:szCs w:val="20"/>
          <w:lang w:val="en-US"/>
        </w:rPr>
        <w:t xml:space="preserve">) (Northern Ireland) Order 1979 </w:t>
      </w:r>
      <w:r w:rsidRPr="008800B6">
        <w:rPr>
          <w:rFonts w:ascii="Times New Roman" w:hAnsi="Times New Roman" w:cs="Times New Roman"/>
          <w:color w:val="000000" w:themeColor="text1"/>
          <w:szCs w:val="20"/>
        </w:rPr>
        <w:t>Art. 12 &lt;</w:t>
      </w:r>
      <w:r w:rsidRPr="008800B6">
        <w:rPr>
          <w:rFonts w:ascii="Times New Roman" w:hAnsi="Times New Roman" w:cs="Times New Roman"/>
          <w:szCs w:val="20"/>
        </w:rPr>
        <w:t>www.legislation.gov.uk/nisi/1979/924&gt;</w:t>
      </w:r>
      <w:r w:rsidRPr="008800B6">
        <w:rPr>
          <w:rFonts w:ascii="Times New Roman" w:hAnsi="Times New Roman" w:cs="Times New Roman"/>
          <w:color w:val="000000" w:themeColor="text1"/>
          <w:szCs w:val="20"/>
        </w:rPr>
        <w:t xml:space="preserve"> accessed 18 December 2015.</w:t>
      </w:r>
    </w:p>
  </w:footnote>
  <w:footnote w:id="51">
    <w:p w14:paraId="2E64A5D2" w14:textId="6461BBB4" w:rsidR="003E7292" w:rsidRPr="008800B6" w:rsidRDefault="003E7292" w:rsidP="00E16B37">
      <w:pPr>
        <w:jc w:val="both"/>
        <w:rPr>
          <w:rFonts w:ascii="Times New Roman" w:hAnsi="Times New Roman" w:cs="Times New Roman"/>
          <w:sz w:val="20"/>
          <w:szCs w:val="20"/>
        </w:rPr>
      </w:pPr>
      <w:r w:rsidRPr="008800B6">
        <w:rPr>
          <w:rStyle w:val="FootnoteReference"/>
          <w:rFonts w:ascii="Times New Roman" w:hAnsi="Times New Roman" w:cs="Times New Roman"/>
          <w:color w:val="000000" w:themeColor="text1"/>
          <w:sz w:val="20"/>
          <w:szCs w:val="20"/>
        </w:rPr>
        <w:footnoteRef/>
      </w:r>
      <w:r w:rsidRPr="008800B6">
        <w:rPr>
          <w:rFonts w:ascii="Times New Roman" w:hAnsi="Times New Roman" w:cs="Times New Roman"/>
          <w:color w:val="000000" w:themeColor="text1"/>
          <w:sz w:val="20"/>
          <w:szCs w:val="20"/>
        </w:rPr>
        <w:t xml:space="preserve"> See Ministry of Justice, European Proposal on Su</w:t>
      </w:r>
      <w:r w:rsidRPr="008800B6">
        <w:rPr>
          <w:rFonts w:ascii="Times New Roman" w:hAnsi="Times New Roman" w:cs="Times New Roman"/>
          <w:sz w:val="20"/>
          <w:szCs w:val="20"/>
        </w:rPr>
        <w:t>ccession and Wills, Consultation Paper, CP41/09, 15. For a comparative analysis of the succession laws of the Member States on the issue of Clawback see Annex I, Appendix I and II by Professor Roderick Paisley within CP41/09, para. 17. Law Society of Scotland in their response to the Ministry of Justice’s public consultation on the European Commission’s proposal on Succession and Wills 2009 stated that ‘clawback plays little or no part in the current law of succession, but historically did so in the restricted circumstances of ‘deathbed’ gifts’.</w:t>
      </w:r>
    </w:p>
  </w:footnote>
  <w:footnote w:id="52">
    <w:p w14:paraId="663A338A" w14:textId="7699BBD4"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Letter from the Hon. Mr Justice David Hayton, The EU’s Regulation of Succession – European Union Committee, Written Evidence, (European Union Committee Publications, March 2010) para. 2. &lt;www.publications.parliament.uk/pa/ld200910/ldselect/ldeucom/75/75we05.htm&gt; accessed 20 September 2014. </w:t>
      </w:r>
    </w:p>
  </w:footnote>
  <w:footnote w:id="53">
    <w:p w14:paraId="61D8358F" w14:textId="5CC87A43"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House of Lords Select Committee of the European Union, The EU’s Succession Regulation on Succession, HL 75, 24</w:t>
      </w:r>
      <w:r w:rsidRPr="008800B6">
        <w:rPr>
          <w:rFonts w:ascii="Times New Roman" w:hAnsi="Times New Roman" w:cs="Times New Roman"/>
          <w:szCs w:val="20"/>
          <w:vertAlign w:val="superscript"/>
        </w:rPr>
        <w:t>th</w:t>
      </w:r>
      <w:r w:rsidRPr="008800B6">
        <w:rPr>
          <w:rFonts w:ascii="Times New Roman" w:hAnsi="Times New Roman" w:cs="Times New Roman"/>
          <w:szCs w:val="20"/>
        </w:rPr>
        <w:t xml:space="preserve"> March 2010, Box 6.</w:t>
      </w:r>
      <w:r w:rsidR="004C091B" w:rsidRPr="008800B6">
        <w:rPr>
          <w:rFonts w:ascii="Times New Roman" w:hAnsi="Times New Roman" w:cs="Times New Roman"/>
          <w:szCs w:val="20"/>
        </w:rPr>
        <w:t xml:space="preserve"> It should be noted that at the time of the negotiations eight Member States other than the UK did not provide for clawback of an </w:t>
      </w:r>
      <w:r w:rsidR="004C091B" w:rsidRPr="008800B6">
        <w:rPr>
          <w:rFonts w:ascii="Times New Roman" w:hAnsi="Times New Roman" w:cs="Times New Roman"/>
          <w:i/>
          <w:iCs/>
          <w:szCs w:val="20"/>
        </w:rPr>
        <w:t xml:space="preserve">inter </w:t>
      </w:r>
      <w:proofErr w:type="spellStart"/>
      <w:r w:rsidR="004C091B" w:rsidRPr="008800B6">
        <w:rPr>
          <w:rFonts w:ascii="Times New Roman" w:hAnsi="Times New Roman" w:cs="Times New Roman"/>
          <w:i/>
          <w:iCs/>
          <w:szCs w:val="20"/>
        </w:rPr>
        <w:t>vivos</w:t>
      </w:r>
      <w:proofErr w:type="spellEnd"/>
      <w:r w:rsidR="004C091B" w:rsidRPr="008800B6">
        <w:rPr>
          <w:rFonts w:ascii="Times New Roman" w:hAnsi="Times New Roman" w:cs="Times New Roman"/>
          <w:szCs w:val="20"/>
        </w:rPr>
        <w:t xml:space="preserve"> gift from third parties demonstrating that this was not a common law/civil law issue, see Holliday </w:t>
      </w:r>
      <w:r w:rsidR="00913496" w:rsidRPr="008800B6">
        <w:rPr>
          <w:rFonts w:ascii="Times New Roman" w:hAnsi="Times New Roman" w:cs="Times New Roman"/>
          <w:szCs w:val="20"/>
        </w:rPr>
        <w:t xml:space="preserve">(2020) </w:t>
      </w:r>
      <w:r w:rsidR="004C091B" w:rsidRPr="008800B6">
        <w:rPr>
          <w:rFonts w:ascii="Times New Roman" w:hAnsi="Times New Roman" w:cs="Times New Roman"/>
          <w:szCs w:val="20"/>
        </w:rPr>
        <w:t>57.</w:t>
      </w:r>
    </w:p>
  </w:footnote>
  <w:footnote w:id="54">
    <w:p w14:paraId="3E8B9587" w14:textId="118B7C4A"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1063.</w:t>
      </w:r>
    </w:p>
  </w:footnote>
  <w:footnote w:id="55">
    <w:p w14:paraId="0BF42913" w14:textId="73E01BBB" w:rsidR="003E7292" w:rsidRPr="008800B6" w:rsidRDefault="003E7292" w:rsidP="00E16B37">
      <w:pPr>
        <w:jc w:val="both"/>
        <w:rPr>
          <w:rFonts w:ascii="Times New Roman" w:hAnsi="Times New Roman" w:cs="Times New Roman"/>
          <w:sz w:val="20"/>
          <w:szCs w:val="20"/>
        </w:rPr>
      </w:pPr>
      <w:r w:rsidRPr="008800B6">
        <w:rPr>
          <w:rStyle w:val="FootnoteReference"/>
          <w:rFonts w:ascii="Times New Roman" w:hAnsi="Times New Roman" w:cs="Times New Roman"/>
          <w:sz w:val="20"/>
          <w:szCs w:val="20"/>
        </w:rPr>
        <w:footnoteRef/>
      </w:r>
      <w:r w:rsidRPr="008800B6">
        <w:rPr>
          <w:rFonts w:ascii="Times New Roman" w:hAnsi="Times New Roman" w:cs="Times New Roman"/>
          <w:sz w:val="20"/>
          <w:szCs w:val="20"/>
        </w:rPr>
        <w:t xml:space="preserve"> See Ministry of Justice, European Proposal on Succession and Wills, Consultation Paper, CP41/09, 15. For a comparative analysis of the succession laws of the Member States on the issue of Clawback see </w:t>
      </w:r>
      <w:r w:rsidR="00FE0232" w:rsidRPr="008800B6">
        <w:rPr>
          <w:rFonts w:ascii="Times New Roman" w:hAnsi="Times New Roman" w:cs="Times New Roman"/>
          <w:sz w:val="20"/>
          <w:szCs w:val="20"/>
        </w:rPr>
        <w:t xml:space="preserve">Holliday </w:t>
      </w:r>
      <w:r w:rsidR="00913496" w:rsidRPr="008800B6">
        <w:rPr>
          <w:rFonts w:ascii="Times New Roman" w:hAnsi="Times New Roman" w:cs="Times New Roman"/>
          <w:sz w:val="20"/>
          <w:szCs w:val="20"/>
        </w:rPr>
        <w:t>(2020)</w:t>
      </w:r>
      <w:r w:rsidR="00FE0232" w:rsidRPr="008800B6">
        <w:rPr>
          <w:rFonts w:ascii="Times New Roman" w:hAnsi="Times New Roman" w:cs="Times New Roman"/>
          <w:sz w:val="20"/>
          <w:szCs w:val="20"/>
        </w:rPr>
        <w:t xml:space="preserve"> Annex IV</w:t>
      </w:r>
      <w:r w:rsidRPr="008800B6">
        <w:rPr>
          <w:rFonts w:ascii="Times New Roman" w:hAnsi="Times New Roman" w:cs="Times New Roman"/>
          <w:sz w:val="20"/>
          <w:szCs w:val="20"/>
        </w:rPr>
        <w:t>.</w:t>
      </w:r>
    </w:p>
  </w:footnote>
  <w:footnote w:id="56">
    <w:p w14:paraId="30D866E4" w14:textId="35E66F8B"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Alexander E. Anton,</w:t>
      </w:r>
      <w:r w:rsidRPr="008800B6">
        <w:rPr>
          <w:rFonts w:ascii="Times New Roman" w:eastAsia="Times New Roman" w:hAnsi="Times New Roman" w:cs="Times New Roman"/>
          <w:szCs w:val="20"/>
        </w:rPr>
        <w:t xml:space="preserve"> </w:t>
      </w:r>
      <w:r w:rsidRPr="008800B6">
        <w:rPr>
          <w:rFonts w:ascii="Times New Roman" w:hAnsi="Times New Roman" w:cs="Times New Roman"/>
          <w:szCs w:val="20"/>
        </w:rPr>
        <w:t xml:space="preserve">‘The Introduction into English Practice of Continental Theories as to the Conflict of Laws’ (1956) 5 ICLQ 534;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xml:space="preserve">, 8-12; and Paul Beaumont and Philip </w:t>
      </w:r>
      <w:proofErr w:type="spellStart"/>
      <w:r w:rsidRPr="008800B6">
        <w:rPr>
          <w:rFonts w:ascii="Times New Roman" w:hAnsi="Times New Roman" w:cs="Times New Roman"/>
          <w:szCs w:val="20"/>
        </w:rPr>
        <w:t>Bremner</w:t>
      </w:r>
      <w:proofErr w:type="spellEnd"/>
      <w:r w:rsidRPr="008800B6">
        <w:rPr>
          <w:rFonts w:ascii="Times New Roman" w:hAnsi="Times New Roman" w:cs="Times New Roman"/>
          <w:szCs w:val="20"/>
        </w:rPr>
        <w:t xml:space="preserve">, ‘Inter-Regional conflicts within the United Kingdom relating to private international law of succession – the development of the applicable law rule’ (2010) 54 </w:t>
      </w:r>
      <w:proofErr w:type="spellStart"/>
      <w:r w:rsidRPr="008800B6">
        <w:rPr>
          <w:rFonts w:ascii="Times New Roman" w:hAnsi="Times New Roman" w:cs="Times New Roman"/>
          <w:szCs w:val="20"/>
        </w:rPr>
        <w:t>Revista</w:t>
      </w:r>
      <w:proofErr w:type="spellEnd"/>
      <w:r w:rsidRPr="008800B6">
        <w:rPr>
          <w:rFonts w:ascii="Times New Roman" w:hAnsi="Times New Roman" w:cs="Times New Roman"/>
          <w:szCs w:val="20"/>
        </w:rPr>
        <w:t xml:space="preserve"> </w:t>
      </w:r>
      <w:proofErr w:type="spellStart"/>
      <w:r w:rsidRPr="008800B6">
        <w:rPr>
          <w:rFonts w:ascii="Times New Roman" w:hAnsi="Times New Roman" w:cs="Times New Roman"/>
          <w:szCs w:val="20"/>
        </w:rPr>
        <w:t>Valenciana</w:t>
      </w:r>
      <w:proofErr w:type="spellEnd"/>
      <w:r w:rsidRPr="008800B6">
        <w:rPr>
          <w:rFonts w:ascii="Times New Roman" w:hAnsi="Times New Roman" w:cs="Times New Roman"/>
          <w:szCs w:val="20"/>
        </w:rPr>
        <w:t xml:space="preserve"> </w:t>
      </w:r>
      <w:proofErr w:type="spellStart"/>
      <w:r w:rsidRPr="008800B6">
        <w:rPr>
          <w:rFonts w:ascii="Times New Roman" w:hAnsi="Times New Roman" w:cs="Times New Roman"/>
          <w:szCs w:val="20"/>
        </w:rPr>
        <w:t>d’Estudis</w:t>
      </w:r>
      <w:proofErr w:type="spellEnd"/>
      <w:r w:rsidRPr="008800B6">
        <w:rPr>
          <w:rFonts w:ascii="Times New Roman" w:hAnsi="Times New Roman" w:cs="Times New Roman"/>
          <w:szCs w:val="20"/>
        </w:rPr>
        <w:t xml:space="preserve"> </w:t>
      </w:r>
      <w:proofErr w:type="spellStart"/>
      <w:r w:rsidRPr="008800B6">
        <w:rPr>
          <w:rFonts w:ascii="Times New Roman" w:hAnsi="Times New Roman" w:cs="Times New Roman"/>
          <w:szCs w:val="20"/>
        </w:rPr>
        <w:t>Autonòmics</w:t>
      </w:r>
      <w:proofErr w:type="spellEnd"/>
      <w:r w:rsidRPr="008800B6">
        <w:rPr>
          <w:rFonts w:ascii="Times New Roman" w:hAnsi="Times New Roman" w:cs="Times New Roman"/>
          <w:szCs w:val="20"/>
        </w:rPr>
        <w:t xml:space="preserve">, 238-71; Philip </w:t>
      </w:r>
      <w:proofErr w:type="spellStart"/>
      <w:r w:rsidRPr="008800B6">
        <w:rPr>
          <w:rFonts w:ascii="Times New Roman" w:hAnsi="Times New Roman" w:cs="Times New Roman"/>
          <w:szCs w:val="20"/>
        </w:rPr>
        <w:t>Bremner</w:t>
      </w:r>
      <w:proofErr w:type="spellEnd"/>
      <w:r w:rsidRPr="008800B6">
        <w:rPr>
          <w:rFonts w:ascii="Times New Roman" w:hAnsi="Times New Roman" w:cs="Times New Roman"/>
          <w:szCs w:val="20"/>
        </w:rPr>
        <w:t>, ‘Bridging the gap between civil and common law: An analysis of the prop</w:t>
      </w:r>
      <w:r w:rsidR="003367E0" w:rsidRPr="008800B6">
        <w:rPr>
          <w:rFonts w:ascii="Times New Roman" w:hAnsi="Times New Roman" w:cs="Times New Roman"/>
          <w:szCs w:val="20"/>
        </w:rPr>
        <w:t xml:space="preserve">osed EU Succession Regulation’, </w:t>
      </w:r>
      <w:r w:rsidRPr="008800B6">
        <w:rPr>
          <w:rFonts w:ascii="Times New Roman" w:hAnsi="Times New Roman" w:cs="Times New Roman"/>
          <w:szCs w:val="20"/>
        </w:rPr>
        <w:t>Masters</w:t>
      </w:r>
      <w:r w:rsidR="003367E0" w:rsidRPr="008800B6">
        <w:rPr>
          <w:rFonts w:ascii="Times New Roman" w:hAnsi="Times New Roman" w:cs="Times New Roman"/>
          <w:szCs w:val="20"/>
        </w:rPr>
        <w:t xml:space="preserve"> Thesis, University of Aberdeen (2010) 84</w:t>
      </w:r>
      <w:r w:rsidRPr="008800B6">
        <w:rPr>
          <w:rFonts w:ascii="Times New Roman" w:hAnsi="Times New Roman" w:cs="Times New Roman"/>
          <w:szCs w:val="20"/>
        </w:rPr>
        <w:t xml:space="preserve">, ‘The word domicile is not found in Viner’s Abridgment, Bacon’s Abridgment, </w:t>
      </w:r>
      <w:proofErr w:type="spellStart"/>
      <w:r w:rsidRPr="008800B6">
        <w:rPr>
          <w:rFonts w:ascii="Times New Roman" w:hAnsi="Times New Roman" w:cs="Times New Roman"/>
          <w:szCs w:val="20"/>
        </w:rPr>
        <w:t>Comyn’s</w:t>
      </w:r>
      <w:proofErr w:type="spellEnd"/>
      <w:r w:rsidRPr="008800B6">
        <w:rPr>
          <w:rFonts w:ascii="Times New Roman" w:hAnsi="Times New Roman" w:cs="Times New Roman"/>
          <w:szCs w:val="20"/>
        </w:rPr>
        <w:t xml:space="preserve"> Digest, or in any of the law books from which </w:t>
      </w:r>
      <w:proofErr w:type="spellStart"/>
      <w:r w:rsidRPr="008800B6">
        <w:rPr>
          <w:rFonts w:ascii="Times New Roman" w:hAnsi="Times New Roman" w:cs="Times New Roman"/>
          <w:szCs w:val="20"/>
        </w:rPr>
        <w:t>Bracton</w:t>
      </w:r>
      <w:proofErr w:type="spellEnd"/>
      <w:r w:rsidRPr="008800B6">
        <w:rPr>
          <w:rFonts w:ascii="Times New Roman" w:hAnsi="Times New Roman" w:cs="Times New Roman"/>
          <w:szCs w:val="20"/>
        </w:rPr>
        <w:t xml:space="preserve"> down to Blackstone, so it must be comparatively new to the English law. It is in fact borrowed from the continental usage and after it had there become the determining factor in questions of law. When we borrowed the notion of personal law, we found that domicile was established as its criterion’; </w:t>
      </w:r>
      <w:proofErr w:type="spellStart"/>
      <w:r w:rsidRPr="008800B6">
        <w:rPr>
          <w:rFonts w:ascii="Times New Roman" w:hAnsi="Times New Roman" w:cs="Times New Roman"/>
          <w:szCs w:val="20"/>
        </w:rPr>
        <w:t>cf</w:t>
      </w:r>
      <w:proofErr w:type="spellEnd"/>
      <w:r w:rsidRPr="008800B6">
        <w:rPr>
          <w:rFonts w:ascii="Times New Roman" w:hAnsi="Times New Roman" w:cs="Times New Roman"/>
          <w:szCs w:val="20"/>
        </w:rPr>
        <w:t xml:space="preserve"> the very significant impact of English Law on the historical development of the substantive law of succession and on administration of estates discussed by W. David H. </w:t>
      </w:r>
      <w:proofErr w:type="spellStart"/>
      <w:r w:rsidRPr="008800B6">
        <w:rPr>
          <w:rFonts w:ascii="Times New Roman" w:hAnsi="Times New Roman" w:cs="Times New Roman"/>
          <w:szCs w:val="20"/>
        </w:rPr>
        <w:t>Sellar</w:t>
      </w:r>
      <w:proofErr w:type="spellEnd"/>
      <w:r w:rsidRPr="008800B6">
        <w:rPr>
          <w:rFonts w:ascii="Times New Roman" w:hAnsi="Times New Roman" w:cs="Times New Roman"/>
          <w:szCs w:val="20"/>
        </w:rPr>
        <w:t xml:space="preserve">, ‘Succession Law in Scotland – a Historical Perspective’ in Kenneth G.C. Reid et al. (eds), </w:t>
      </w:r>
      <w:r w:rsidRPr="008800B6">
        <w:rPr>
          <w:rFonts w:ascii="Times New Roman" w:hAnsi="Times New Roman" w:cs="Times New Roman"/>
          <w:i/>
          <w:szCs w:val="20"/>
        </w:rPr>
        <w:t>Exploring the Law of Succession Studies National, Historical and Comparative</w:t>
      </w:r>
      <w:r w:rsidRPr="008800B6">
        <w:rPr>
          <w:rFonts w:ascii="Times New Roman" w:hAnsi="Times New Roman" w:cs="Times New Roman"/>
          <w:szCs w:val="20"/>
        </w:rPr>
        <w:t xml:space="preserve"> (Edinburgh University Press 2007) 49.</w:t>
      </w:r>
    </w:p>
  </w:footnote>
  <w:footnote w:id="57">
    <w:p w14:paraId="78EFFA03" w14:textId="3EDBA8BD"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David Robertson, </w:t>
      </w:r>
      <w:r w:rsidRPr="008800B6">
        <w:rPr>
          <w:rFonts w:ascii="Times New Roman" w:hAnsi="Times New Roman" w:cs="Times New Roman"/>
          <w:i/>
          <w:szCs w:val="20"/>
        </w:rPr>
        <w:t>A treatise on the rules of the law of personal succession, in the different parts of the realm: and on the cases, regarding foreign and international succession, which have been decided in the British courts</w:t>
      </w:r>
      <w:r w:rsidRPr="008800B6">
        <w:rPr>
          <w:rFonts w:ascii="Times New Roman" w:hAnsi="Times New Roman" w:cs="Times New Roman"/>
          <w:szCs w:val="20"/>
        </w:rPr>
        <w:t xml:space="preserve"> (T. Clark, Edinburgh 1836) 82.</w:t>
      </w:r>
    </w:p>
  </w:footnote>
  <w:footnote w:id="58">
    <w:p w14:paraId="29574658" w14:textId="7EC63DFF"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Anton, 535-6, see also Kames, </w:t>
      </w:r>
      <w:r w:rsidRPr="008800B6">
        <w:rPr>
          <w:rFonts w:ascii="Times New Roman" w:hAnsi="Times New Roman" w:cs="Times New Roman"/>
          <w:i/>
          <w:szCs w:val="20"/>
        </w:rPr>
        <w:t>Principles of Equity</w:t>
      </w:r>
      <w:r w:rsidRPr="008800B6">
        <w:rPr>
          <w:rFonts w:ascii="Times New Roman" w:hAnsi="Times New Roman" w:cs="Times New Roman"/>
          <w:szCs w:val="20"/>
        </w:rPr>
        <w:t xml:space="preserve"> (3</w:t>
      </w:r>
      <w:r w:rsidRPr="008800B6">
        <w:rPr>
          <w:rFonts w:ascii="Times New Roman" w:hAnsi="Times New Roman" w:cs="Times New Roman"/>
          <w:szCs w:val="20"/>
          <w:vertAlign w:val="superscript"/>
        </w:rPr>
        <w:t>rd</w:t>
      </w:r>
      <w:r w:rsidRPr="008800B6">
        <w:rPr>
          <w:rFonts w:ascii="Times New Roman" w:hAnsi="Times New Roman" w:cs="Times New Roman"/>
          <w:szCs w:val="20"/>
        </w:rPr>
        <w:t xml:space="preserve"> ed, Edinburgh 1778) vol. ii, esp</w:t>
      </w:r>
      <w:r w:rsidR="005A7950" w:rsidRPr="008800B6">
        <w:rPr>
          <w:rFonts w:ascii="Times New Roman" w:hAnsi="Times New Roman" w:cs="Times New Roman"/>
          <w:szCs w:val="20"/>
        </w:rPr>
        <w:t>.</w:t>
      </w:r>
      <w:r w:rsidRPr="008800B6">
        <w:rPr>
          <w:rFonts w:ascii="Times New Roman" w:hAnsi="Times New Roman" w:cs="Times New Roman"/>
          <w:szCs w:val="20"/>
        </w:rPr>
        <w:t xml:space="preserve"> 310, 333 and 342.</w:t>
      </w:r>
    </w:p>
  </w:footnote>
  <w:footnote w:id="59">
    <w:p w14:paraId="14325E2F" w14:textId="527CEAA8"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(1744) M.4604. For a recognition of the importance of this case and the detail of the plea by the defender that was upheld in this case, see Anton, 537-8.</w:t>
      </w:r>
    </w:p>
  </w:footnote>
  <w:footnote w:id="60">
    <w:p w14:paraId="6B53FE19" w14:textId="016582AB" w:rsidR="003E7292" w:rsidRPr="008800B6" w:rsidRDefault="003E7292" w:rsidP="00E16B37">
      <w:pPr>
        <w:jc w:val="both"/>
        <w:rPr>
          <w:rFonts w:ascii="Times New Roman" w:hAnsi="Times New Roman" w:cs="Times New Roman"/>
          <w:sz w:val="20"/>
          <w:szCs w:val="20"/>
        </w:rPr>
      </w:pPr>
      <w:r w:rsidRPr="008800B6">
        <w:rPr>
          <w:rStyle w:val="FootnoteReference"/>
          <w:rFonts w:ascii="Times New Roman" w:hAnsi="Times New Roman" w:cs="Times New Roman"/>
          <w:sz w:val="20"/>
          <w:szCs w:val="20"/>
        </w:rPr>
        <w:footnoteRef/>
      </w:r>
      <w:r w:rsidRPr="008800B6">
        <w:rPr>
          <w:rFonts w:ascii="Times New Roman" w:hAnsi="Times New Roman" w:cs="Times New Roman"/>
          <w:sz w:val="20"/>
          <w:szCs w:val="20"/>
        </w:rPr>
        <w:t xml:space="preserve"> Anton, 537-8, notes that the judgment of the court in </w:t>
      </w:r>
      <w:r w:rsidRPr="008800B6">
        <w:rPr>
          <w:rFonts w:ascii="Times New Roman" w:hAnsi="Times New Roman" w:cs="Times New Roman"/>
          <w:i/>
          <w:sz w:val="20"/>
          <w:szCs w:val="20"/>
        </w:rPr>
        <w:t>Brown</w:t>
      </w:r>
      <w:r w:rsidRPr="008800B6">
        <w:rPr>
          <w:rFonts w:ascii="Times New Roman" w:hAnsi="Times New Roman" w:cs="Times New Roman"/>
          <w:sz w:val="20"/>
          <w:szCs w:val="20"/>
        </w:rPr>
        <w:t xml:space="preserve"> is not reported but that Falconer’s report says that the judges ‘agreed the case was to be determined by the law of nations, and by it the domicile of the creditor’ [the deceased] ‘was to be the rule’. Beaumont and </w:t>
      </w:r>
      <w:proofErr w:type="spellStart"/>
      <w:r w:rsidRPr="008800B6">
        <w:rPr>
          <w:rFonts w:ascii="Times New Roman" w:hAnsi="Times New Roman" w:cs="Times New Roman"/>
          <w:sz w:val="20"/>
          <w:szCs w:val="20"/>
        </w:rPr>
        <w:t>Bremner</w:t>
      </w:r>
      <w:proofErr w:type="spellEnd"/>
      <w:r w:rsidRPr="008800B6">
        <w:rPr>
          <w:rFonts w:ascii="Times New Roman" w:hAnsi="Times New Roman" w:cs="Times New Roman"/>
          <w:sz w:val="20"/>
          <w:szCs w:val="20"/>
        </w:rPr>
        <w:t xml:space="preserve"> summarise the issue as </w:t>
      </w:r>
      <w:proofErr w:type="gramStart"/>
      <w:r w:rsidRPr="008800B6">
        <w:rPr>
          <w:rFonts w:ascii="Times New Roman" w:hAnsi="Times New Roman" w:cs="Times New Roman"/>
          <w:sz w:val="20"/>
          <w:szCs w:val="20"/>
        </w:rPr>
        <w:t>follows</w:t>
      </w:r>
      <w:proofErr w:type="gramEnd"/>
      <w:r w:rsidRPr="008800B6">
        <w:rPr>
          <w:rFonts w:ascii="Times New Roman" w:hAnsi="Times New Roman" w:cs="Times New Roman"/>
          <w:sz w:val="20"/>
          <w:szCs w:val="20"/>
        </w:rPr>
        <w:t>: ‘The case concerned a Scottish domiciled deceased who owned Irish government debentures. Under the terms of the debenture, the money was to be repaid to the deceased, his executors, administrators or assignees. By the law of Scotland, this passed to the deceased’s brother as his next of kin. This, however, was challenged by the deceased’s nephew, who claimed that by the law of Ireland, he was entitled to a share…Scots law was applied’. Distribution of an estate according to the law of the domicile of the deceased had not been accepted by the Scottish institutional writers at that time, see Stair</w:t>
      </w:r>
      <w:r w:rsidRPr="008800B6">
        <w:rPr>
          <w:rFonts w:ascii="Times New Roman" w:hAnsi="Times New Roman" w:cs="Times New Roman"/>
          <w:i/>
          <w:sz w:val="20"/>
          <w:szCs w:val="20"/>
        </w:rPr>
        <w:t>, The Institutions of the Law of Scotland</w:t>
      </w:r>
      <w:r w:rsidRPr="008800B6">
        <w:rPr>
          <w:rFonts w:ascii="Times New Roman" w:hAnsi="Times New Roman" w:cs="Times New Roman"/>
          <w:sz w:val="20"/>
          <w:szCs w:val="20"/>
        </w:rPr>
        <w:t xml:space="preserve"> (Edinburgh 1681) III 8.35 and </w:t>
      </w:r>
      <w:proofErr w:type="spellStart"/>
      <w:r w:rsidRPr="008800B6">
        <w:rPr>
          <w:rFonts w:ascii="Times New Roman" w:hAnsi="Times New Roman" w:cs="Times New Roman"/>
          <w:sz w:val="20"/>
          <w:szCs w:val="20"/>
        </w:rPr>
        <w:t>Bankton</w:t>
      </w:r>
      <w:proofErr w:type="spellEnd"/>
      <w:r w:rsidRPr="008800B6">
        <w:rPr>
          <w:rFonts w:ascii="Times New Roman" w:hAnsi="Times New Roman" w:cs="Times New Roman"/>
          <w:sz w:val="20"/>
          <w:szCs w:val="20"/>
        </w:rPr>
        <w:t xml:space="preserve">, </w:t>
      </w:r>
      <w:r w:rsidRPr="008800B6">
        <w:rPr>
          <w:rFonts w:ascii="Times New Roman" w:hAnsi="Times New Roman" w:cs="Times New Roman"/>
          <w:i/>
          <w:sz w:val="20"/>
          <w:szCs w:val="20"/>
        </w:rPr>
        <w:t>An Institute of the Laws of Scotland</w:t>
      </w:r>
      <w:r w:rsidRPr="008800B6">
        <w:rPr>
          <w:rFonts w:ascii="Times New Roman" w:hAnsi="Times New Roman" w:cs="Times New Roman"/>
          <w:sz w:val="20"/>
          <w:szCs w:val="20"/>
        </w:rPr>
        <w:t xml:space="preserve"> (Edinburgh 1751) III 8.5. It was however, accepted a little later by another institutional writer, see Erskine, </w:t>
      </w:r>
      <w:r w:rsidRPr="008800B6">
        <w:rPr>
          <w:rFonts w:ascii="Times New Roman" w:hAnsi="Times New Roman" w:cs="Times New Roman"/>
          <w:i/>
          <w:sz w:val="20"/>
          <w:szCs w:val="20"/>
        </w:rPr>
        <w:t>An Institute of the Law of Scotland</w:t>
      </w:r>
      <w:r w:rsidRPr="008800B6">
        <w:rPr>
          <w:rFonts w:ascii="Times New Roman" w:hAnsi="Times New Roman" w:cs="Times New Roman"/>
          <w:sz w:val="20"/>
          <w:szCs w:val="20"/>
        </w:rPr>
        <w:t xml:space="preserve"> (Edinburgh 1773) III 9.4.</w:t>
      </w:r>
    </w:p>
  </w:footnote>
  <w:footnote w:id="61">
    <w:p w14:paraId="1047FACC" w14:textId="24B2E69A"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For an analysis of the case law in England and Scotland and the development of the applicable law see Beaumont and </w:t>
      </w:r>
      <w:proofErr w:type="spellStart"/>
      <w:r w:rsidRPr="008800B6">
        <w:rPr>
          <w:rFonts w:ascii="Times New Roman" w:hAnsi="Times New Roman" w:cs="Times New Roman"/>
          <w:szCs w:val="20"/>
        </w:rPr>
        <w:t>Bremner</w:t>
      </w:r>
      <w:proofErr w:type="spellEnd"/>
      <w:r w:rsidRPr="008800B6">
        <w:rPr>
          <w:rFonts w:ascii="Times New Roman" w:hAnsi="Times New Roman" w:cs="Times New Roman"/>
          <w:szCs w:val="20"/>
        </w:rPr>
        <w:t xml:space="preserve">. The English cases include </w:t>
      </w:r>
      <w:proofErr w:type="spellStart"/>
      <w:r w:rsidRPr="008800B6">
        <w:rPr>
          <w:rFonts w:ascii="Times New Roman" w:hAnsi="Times New Roman" w:cs="Times New Roman"/>
          <w:i/>
          <w:szCs w:val="20"/>
        </w:rPr>
        <w:t>Pipon</w:t>
      </w:r>
      <w:proofErr w:type="spellEnd"/>
      <w:r w:rsidRPr="008800B6">
        <w:rPr>
          <w:rFonts w:ascii="Times New Roman" w:hAnsi="Times New Roman" w:cs="Times New Roman"/>
          <w:i/>
          <w:szCs w:val="20"/>
        </w:rPr>
        <w:t xml:space="preserve"> v </w:t>
      </w:r>
      <w:proofErr w:type="spellStart"/>
      <w:r w:rsidRPr="008800B6">
        <w:rPr>
          <w:rFonts w:ascii="Times New Roman" w:hAnsi="Times New Roman" w:cs="Times New Roman"/>
          <w:i/>
          <w:szCs w:val="20"/>
        </w:rPr>
        <w:t>Pipon</w:t>
      </w:r>
      <w:proofErr w:type="spellEnd"/>
      <w:r w:rsidRPr="008800B6">
        <w:rPr>
          <w:rFonts w:ascii="Times New Roman" w:hAnsi="Times New Roman" w:cs="Times New Roman"/>
          <w:szCs w:val="20"/>
        </w:rPr>
        <w:t xml:space="preserve"> (1744) </w:t>
      </w:r>
      <w:proofErr w:type="spellStart"/>
      <w:r w:rsidRPr="008800B6">
        <w:rPr>
          <w:rFonts w:ascii="Times New Roman" w:hAnsi="Times New Roman" w:cs="Times New Roman"/>
          <w:szCs w:val="20"/>
        </w:rPr>
        <w:t>Amb</w:t>
      </w:r>
      <w:proofErr w:type="spellEnd"/>
      <w:r w:rsidRPr="008800B6">
        <w:rPr>
          <w:rFonts w:ascii="Times New Roman" w:hAnsi="Times New Roman" w:cs="Times New Roman"/>
          <w:szCs w:val="20"/>
        </w:rPr>
        <w:t xml:space="preserve">. 26 and </w:t>
      </w:r>
      <w:r w:rsidRPr="008800B6">
        <w:rPr>
          <w:rFonts w:ascii="Times New Roman" w:hAnsi="Times New Roman" w:cs="Times New Roman"/>
          <w:i/>
          <w:szCs w:val="20"/>
        </w:rPr>
        <w:t>Thorne v Watkins</w:t>
      </w:r>
      <w:r w:rsidRPr="008800B6">
        <w:rPr>
          <w:rFonts w:ascii="Times New Roman" w:hAnsi="Times New Roman" w:cs="Times New Roman"/>
          <w:szCs w:val="20"/>
        </w:rPr>
        <w:t xml:space="preserve"> (1750) 2 </w:t>
      </w:r>
      <w:proofErr w:type="spellStart"/>
      <w:r w:rsidRPr="008800B6">
        <w:rPr>
          <w:rFonts w:ascii="Times New Roman" w:hAnsi="Times New Roman" w:cs="Times New Roman"/>
          <w:szCs w:val="20"/>
        </w:rPr>
        <w:t>Ves</w:t>
      </w:r>
      <w:proofErr w:type="spellEnd"/>
      <w:r w:rsidRPr="008800B6">
        <w:rPr>
          <w:rFonts w:ascii="Times New Roman" w:hAnsi="Times New Roman" w:cs="Times New Roman"/>
          <w:szCs w:val="20"/>
        </w:rPr>
        <w:t xml:space="preserve">. Sen. 35. The Scottish cases include some that seem to have reverted to the </w:t>
      </w:r>
      <w:r w:rsidRPr="008800B6">
        <w:rPr>
          <w:rFonts w:ascii="Times New Roman" w:hAnsi="Times New Roman" w:cs="Times New Roman"/>
          <w:i/>
          <w:szCs w:val="20"/>
        </w:rPr>
        <w:t xml:space="preserve">lex situs </w:t>
      </w:r>
      <w:r w:rsidRPr="008800B6">
        <w:rPr>
          <w:rFonts w:ascii="Times New Roman" w:hAnsi="Times New Roman" w:cs="Times New Roman"/>
          <w:szCs w:val="20"/>
        </w:rPr>
        <w:t xml:space="preserve">rule, see </w:t>
      </w:r>
      <w:r w:rsidRPr="008800B6">
        <w:rPr>
          <w:rFonts w:ascii="Times New Roman" w:hAnsi="Times New Roman" w:cs="Times New Roman"/>
          <w:i/>
          <w:szCs w:val="20"/>
        </w:rPr>
        <w:t xml:space="preserve">Davidson v </w:t>
      </w:r>
      <w:proofErr w:type="spellStart"/>
      <w:r w:rsidRPr="008800B6">
        <w:rPr>
          <w:rFonts w:ascii="Times New Roman" w:hAnsi="Times New Roman" w:cs="Times New Roman"/>
          <w:i/>
          <w:szCs w:val="20"/>
        </w:rPr>
        <w:t>Elcherson</w:t>
      </w:r>
      <w:proofErr w:type="spellEnd"/>
      <w:r w:rsidRPr="008800B6">
        <w:rPr>
          <w:rFonts w:ascii="Times New Roman" w:hAnsi="Times New Roman" w:cs="Times New Roman"/>
          <w:szCs w:val="20"/>
        </w:rPr>
        <w:t xml:space="preserve"> (1778) Mor. 4613 (though this may be better explained as a case where the Scottish court declined to exercise jurisdiction in favour of a case pending before a court in Hamburg, Germany); </w:t>
      </w:r>
      <w:r w:rsidRPr="008800B6">
        <w:rPr>
          <w:rFonts w:ascii="Times New Roman" w:hAnsi="Times New Roman" w:cs="Times New Roman"/>
          <w:i/>
          <w:szCs w:val="20"/>
        </w:rPr>
        <w:t>Henderson v McLean</w:t>
      </w:r>
      <w:r w:rsidRPr="008800B6">
        <w:rPr>
          <w:rFonts w:ascii="Times New Roman" w:hAnsi="Times New Roman" w:cs="Times New Roman"/>
          <w:szCs w:val="20"/>
        </w:rPr>
        <w:t xml:space="preserve"> (1778) Mor. 4615; and </w:t>
      </w:r>
      <w:r w:rsidRPr="008800B6">
        <w:rPr>
          <w:rFonts w:ascii="Times New Roman" w:hAnsi="Times New Roman" w:cs="Times New Roman"/>
          <w:i/>
          <w:szCs w:val="20"/>
        </w:rPr>
        <w:t>Morris v Wright</w:t>
      </w:r>
      <w:r w:rsidRPr="008800B6">
        <w:rPr>
          <w:rFonts w:ascii="Times New Roman" w:hAnsi="Times New Roman" w:cs="Times New Roman"/>
          <w:szCs w:val="20"/>
        </w:rPr>
        <w:t xml:space="preserve"> (1785) M. 4616, and some that followed the approach in </w:t>
      </w:r>
      <w:r w:rsidRPr="008800B6">
        <w:rPr>
          <w:rFonts w:ascii="Times New Roman" w:hAnsi="Times New Roman" w:cs="Times New Roman"/>
          <w:i/>
          <w:szCs w:val="20"/>
        </w:rPr>
        <w:t xml:space="preserve">Brown v Brown </w:t>
      </w:r>
      <w:r w:rsidRPr="008800B6">
        <w:rPr>
          <w:rFonts w:ascii="Times New Roman" w:hAnsi="Times New Roman" w:cs="Times New Roman"/>
          <w:szCs w:val="20"/>
        </w:rPr>
        <w:t xml:space="preserve">(1744) M.4604, see </w:t>
      </w:r>
      <w:proofErr w:type="spellStart"/>
      <w:r w:rsidRPr="008800B6">
        <w:rPr>
          <w:rFonts w:ascii="Times New Roman" w:hAnsi="Times New Roman" w:cs="Times New Roman"/>
          <w:i/>
          <w:szCs w:val="20"/>
        </w:rPr>
        <w:t>MacHargs</w:t>
      </w:r>
      <w:proofErr w:type="spellEnd"/>
      <w:r w:rsidRPr="008800B6">
        <w:rPr>
          <w:rFonts w:ascii="Times New Roman" w:hAnsi="Times New Roman" w:cs="Times New Roman"/>
          <w:i/>
          <w:szCs w:val="20"/>
        </w:rPr>
        <w:t xml:space="preserve"> v Blain</w:t>
      </w:r>
      <w:r w:rsidRPr="008800B6">
        <w:rPr>
          <w:rFonts w:ascii="Times New Roman" w:hAnsi="Times New Roman" w:cs="Times New Roman"/>
          <w:szCs w:val="20"/>
        </w:rPr>
        <w:t xml:space="preserve"> (1760) M. 4611. Beaumont and </w:t>
      </w:r>
      <w:proofErr w:type="spellStart"/>
      <w:r w:rsidRPr="008800B6">
        <w:rPr>
          <w:rFonts w:ascii="Times New Roman" w:hAnsi="Times New Roman" w:cs="Times New Roman"/>
          <w:szCs w:val="20"/>
        </w:rPr>
        <w:t>Bremner</w:t>
      </w:r>
      <w:proofErr w:type="spellEnd"/>
      <w:r w:rsidRPr="008800B6">
        <w:rPr>
          <w:rFonts w:ascii="Times New Roman" w:hAnsi="Times New Roman" w:cs="Times New Roman"/>
          <w:szCs w:val="20"/>
        </w:rPr>
        <w:t xml:space="preserve"> speculate that the Scottish cases that appear not to follow </w:t>
      </w:r>
      <w:r w:rsidRPr="008800B6">
        <w:rPr>
          <w:rFonts w:ascii="Times New Roman" w:hAnsi="Times New Roman" w:cs="Times New Roman"/>
          <w:i/>
          <w:szCs w:val="20"/>
        </w:rPr>
        <w:t xml:space="preserve">Brown </w:t>
      </w:r>
      <w:r w:rsidRPr="008800B6">
        <w:rPr>
          <w:rFonts w:ascii="Times New Roman" w:hAnsi="Times New Roman" w:cs="Times New Roman"/>
          <w:szCs w:val="20"/>
        </w:rPr>
        <w:t xml:space="preserve">could be early examples of accepting an implied choice of law based on a will being drawn up under that system of law. </w:t>
      </w:r>
    </w:p>
  </w:footnote>
  <w:footnote w:id="62">
    <w:p w14:paraId="346D255F" w14:textId="1D431BD4"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Beaumont and </w:t>
      </w:r>
      <w:proofErr w:type="spellStart"/>
      <w:r w:rsidRPr="008800B6">
        <w:rPr>
          <w:rFonts w:ascii="Times New Roman" w:hAnsi="Times New Roman" w:cs="Times New Roman"/>
          <w:szCs w:val="20"/>
        </w:rPr>
        <w:t>Bremner</w:t>
      </w:r>
      <w:proofErr w:type="spellEnd"/>
      <w:r w:rsidRPr="008800B6">
        <w:rPr>
          <w:rFonts w:ascii="Times New Roman" w:hAnsi="Times New Roman" w:cs="Times New Roman"/>
          <w:szCs w:val="20"/>
        </w:rPr>
        <w:t xml:space="preserve">, </w:t>
      </w:r>
      <w:r w:rsidRPr="008800B6">
        <w:rPr>
          <w:rFonts w:ascii="Times New Roman" w:hAnsi="Times New Roman" w:cs="Times New Roman"/>
          <w:szCs w:val="20"/>
          <w:lang w:val="en-US"/>
        </w:rPr>
        <w:t>238-71</w:t>
      </w:r>
      <w:r w:rsidRPr="008800B6">
        <w:rPr>
          <w:rFonts w:ascii="Times New Roman" w:hAnsi="Times New Roman" w:cs="Times New Roman"/>
          <w:szCs w:val="20"/>
        </w:rPr>
        <w:t xml:space="preserve">, and Anton, 538-9. </w:t>
      </w:r>
    </w:p>
  </w:footnote>
  <w:footnote w:id="63">
    <w:p w14:paraId="5A3F8F5E" w14:textId="65F50438"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(1790) 3 Pat. 163. See also (1790) 6 Bro. P.C. 566 and 2 Bos. &amp; </w:t>
      </w:r>
      <w:proofErr w:type="spellStart"/>
      <w:r w:rsidRPr="008800B6">
        <w:rPr>
          <w:rFonts w:ascii="Times New Roman" w:hAnsi="Times New Roman" w:cs="Times New Roman"/>
          <w:szCs w:val="20"/>
        </w:rPr>
        <w:t>Pul</w:t>
      </w:r>
      <w:proofErr w:type="spellEnd"/>
      <w:r w:rsidRPr="008800B6">
        <w:rPr>
          <w:rFonts w:ascii="Times New Roman" w:hAnsi="Times New Roman" w:cs="Times New Roman"/>
          <w:szCs w:val="20"/>
        </w:rPr>
        <w:t xml:space="preserve">. 226. See the analysis in Anton, 538-9 and Beaumont and </w:t>
      </w:r>
      <w:proofErr w:type="spellStart"/>
      <w:r w:rsidRPr="008800B6">
        <w:rPr>
          <w:rFonts w:ascii="Times New Roman" w:hAnsi="Times New Roman" w:cs="Times New Roman"/>
          <w:szCs w:val="20"/>
        </w:rPr>
        <w:t>Bremner</w:t>
      </w:r>
      <w:proofErr w:type="spellEnd"/>
      <w:r w:rsidRPr="008800B6">
        <w:rPr>
          <w:rFonts w:ascii="Times New Roman" w:hAnsi="Times New Roman" w:cs="Times New Roman"/>
          <w:szCs w:val="20"/>
        </w:rPr>
        <w:t>.</w:t>
      </w:r>
    </w:p>
  </w:footnote>
  <w:footnote w:id="64">
    <w:p w14:paraId="536BEB87" w14:textId="4A7E1EA4"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Beaumont and </w:t>
      </w:r>
      <w:proofErr w:type="spellStart"/>
      <w:r w:rsidRPr="008800B6">
        <w:rPr>
          <w:rFonts w:ascii="Times New Roman" w:hAnsi="Times New Roman" w:cs="Times New Roman"/>
          <w:szCs w:val="20"/>
        </w:rPr>
        <w:t>Bremner</w:t>
      </w:r>
      <w:proofErr w:type="spellEnd"/>
      <w:r w:rsidRPr="008800B6">
        <w:rPr>
          <w:rFonts w:ascii="Times New Roman" w:hAnsi="Times New Roman" w:cs="Times New Roman"/>
          <w:szCs w:val="20"/>
        </w:rPr>
        <w:t xml:space="preserve">; Anton, 539-40; </w:t>
      </w:r>
      <w:r w:rsidRPr="008800B6">
        <w:rPr>
          <w:rFonts w:ascii="Times New Roman" w:hAnsi="Times New Roman" w:cs="Times New Roman"/>
          <w:i/>
          <w:szCs w:val="20"/>
        </w:rPr>
        <w:t>Hunter v Potts</w:t>
      </w:r>
      <w:r w:rsidR="00B6144E" w:rsidRPr="008800B6">
        <w:rPr>
          <w:rFonts w:ascii="Times New Roman" w:hAnsi="Times New Roman" w:cs="Times New Roman"/>
          <w:szCs w:val="20"/>
        </w:rPr>
        <w:t xml:space="preserve"> (1791) 4 TR</w:t>
      </w:r>
      <w:r w:rsidRPr="008800B6">
        <w:rPr>
          <w:rFonts w:ascii="Times New Roman" w:hAnsi="Times New Roman" w:cs="Times New Roman"/>
          <w:szCs w:val="20"/>
        </w:rPr>
        <w:t xml:space="preserve"> 182; </w:t>
      </w:r>
      <w:proofErr w:type="spellStart"/>
      <w:r w:rsidRPr="008800B6">
        <w:rPr>
          <w:rFonts w:ascii="Times New Roman" w:hAnsi="Times New Roman" w:cs="Times New Roman"/>
          <w:i/>
          <w:szCs w:val="20"/>
        </w:rPr>
        <w:t>Bempde</w:t>
      </w:r>
      <w:proofErr w:type="spellEnd"/>
      <w:r w:rsidRPr="008800B6">
        <w:rPr>
          <w:rFonts w:ascii="Times New Roman" w:hAnsi="Times New Roman" w:cs="Times New Roman"/>
          <w:i/>
          <w:szCs w:val="20"/>
        </w:rPr>
        <w:t xml:space="preserve"> v Johnstone</w:t>
      </w:r>
      <w:r w:rsidRPr="008800B6">
        <w:rPr>
          <w:rFonts w:ascii="Times New Roman" w:hAnsi="Times New Roman" w:cs="Times New Roman"/>
          <w:szCs w:val="20"/>
        </w:rPr>
        <w:t xml:space="preserve"> (1796) 3 </w:t>
      </w:r>
      <w:proofErr w:type="spellStart"/>
      <w:r w:rsidRPr="008800B6">
        <w:rPr>
          <w:rFonts w:ascii="Times New Roman" w:hAnsi="Times New Roman" w:cs="Times New Roman"/>
          <w:szCs w:val="20"/>
        </w:rPr>
        <w:t>Ves</w:t>
      </w:r>
      <w:proofErr w:type="spellEnd"/>
      <w:r w:rsidRPr="008800B6">
        <w:rPr>
          <w:rFonts w:ascii="Times New Roman" w:hAnsi="Times New Roman" w:cs="Times New Roman"/>
          <w:szCs w:val="20"/>
        </w:rPr>
        <w:t xml:space="preserve">. Jun., 199, 200 (per Lord Chancellor Loughborough), </w:t>
      </w:r>
      <w:r w:rsidRPr="008800B6">
        <w:rPr>
          <w:rFonts w:ascii="Times New Roman" w:hAnsi="Times New Roman" w:cs="Times New Roman"/>
          <w:i/>
          <w:szCs w:val="20"/>
        </w:rPr>
        <w:t>Somerville v Somerville</w:t>
      </w:r>
      <w:r w:rsidRPr="008800B6">
        <w:rPr>
          <w:rFonts w:ascii="Times New Roman" w:hAnsi="Times New Roman" w:cs="Times New Roman"/>
          <w:szCs w:val="20"/>
        </w:rPr>
        <w:t xml:space="preserve"> (1801) 31 E.R. 839 and Story, </w:t>
      </w:r>
      <w:r w:rsidRPr="008800B6">
        <w:rPr>
          <w:rFonts w:ascii="Times New Roman" w:hAnsi="Times New Roman" w:cs="Times New Roman"/>
          <w:i/>
          <w:szCs w:val="20"/>
        </w:rPr>
        <w:t>Commentaries on the Conflict of Laws</w:t>
      </w:r>
      <w:r w:rsidRPr="008800B6">
        <w:rPr>
          <w:rFonts w:ascii="Times New Roman" w:hAnsi="Times New Roman" w:cs="Times New Roman"/>
          <w:szCs w:val="20"/>
        </w:rPr>
        <w:t xml:space="preserve"> (T Clark, Edinburgh 1835) discussed by Ernest Lorenzen, ‘Story’s Commentaries on the Conflict of Laws – One Hundred Years After’ (1934-35) 48 Harvard L. Rev. 15, 24.</w:t>
      </w:r>
    </w:p>
  </w:footnote>
  <w:footnote w:id="65">
    <w:p w14:paraId="6E3786D6" w14:textId="527FE04E"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for example Lorenzen, 32-3.</w:t>
      </w:r>
    </w:p>
  </w:footnote>
  <w:footnote w:id="66">
    <w:p w14:paraId="633CB60D" w14:textId="58E6E89D"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1022.</w:t>
      </w:r>
    </w:p>
  </w:footnote>
  <w:footnote w:id="67">
    <w:p w14:paraId="2B2109BC"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w:t>
      </w:r>
    </w:p>
  </w:footnote>
  <w:footnote w:id="68">
    <w:p w14:paraId="2D7F3230"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 1000.</w:t>
      </w:r>
    </w:p>
  </w:footnote>
  <w:footnote w:id="69">
    <w:p w14:paraId="03B51A75"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w:t>
      </w:r>
    </w:p>
  </w:footnote>
  <w:footnote w:id="70">
    <w:p w14:paraId="55C4A4C3"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 1002.</w:t>
      </w:r>
    </w:p>
  </w:footnote>
  <w:footnote w:id="71">
    <w:p w14:paraId="73F1B7C2" w14:textId="2D76C293"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Garb and Wood, 733.</w:t>
      </w:r>
    </w:p>
  </w:footnote>
  <w:footnote w:id="72">
    <w:p w14:paraId="1B239566"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 734.</w:t>
      </w:r>
    </w:p>
  </w:footnote>
  <w:footnote w:id="73">
    <w:p w14:paraId="3F2730B6"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 1000.</w:t>
      </w:r>
    </w:p>
  </w:footnote>
  <w:footnote w:id="74">
    <w:p w14:paraId="5D849AF8" w14:textId="2EA3D75C"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 1002; Crawford and Carruthers, 679.</w:t>
      </w:r>
    </w:p>
  </w:footnote>
  <w:footnote w:id="75">
    <w:p w14:paraId="433A08AA" w14:textId="40135EB0"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1018.</w:t>
      </w:r>
    </w:p>
  </w:footnote>
  <w:footnote w:id="76">
    <w:p w14:paraId="246B432B"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w:t>
      </w:r>
    </w:p>
  </w:footnote>
  <w:footnote w:id="77">
    <w:p w14:paraId="41FC8131"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w:t>
      </w:r>
    </w:p>
  </w:footnote>
  <w:footnote w:id="78">
    <w:p w14:paraId="0EF513F7"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w:t>
      </w:r>
    </w:p>
  </w:footnote>
  <w:footnote w:id="79">
    <w:p w14:paraId="6B0B9211" w14:textId="5E89BA3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Family Law (Scotland</w:t>
      </w:r>
      <w:r w:rsidR="008800B6">
        <w:rPr>
          <w:rFonts w:ascii="Times New Roman" w:hAnsi="Times New Roman" w:cs="Times New Roman"/>
          <w:szCs w:val="20"/>
        </w:rPr>
        <w:t>)</w:t>
      </w:r>
      <w:r w:rsidRPr="008800B6">
        <w:rPr>
          <w:rFonts w:ascii="Times New Roman" w:hAnsi="Times New Roman" w:cs="Times New Roman"/>
          <w:szCs w:val="20"/>
        </w:rPr>
        <w:t xml:space="preserve"> Act 1985 s1(4); Family Law (Scotland) Act </w:t>
      </w:r>
      <w:r w:rsidR="00A36B8C" w:rsidRPr="008800B6">
        <w:rPr>
          <w:rFonts w:ascii="Times New Roman" w:hAnsi="Times New Roman" w:cs="Times New Roman"/>
          <w:szCs w:val="20"/>
        </w:rPr>
        <w:t xml:space="preserve">2006 </w:t>
      </w:r>
      <w:r w:rsidRPr="008800B6">
        <w:rPr>
          <w:rFonts w:ascii="Times New Roman" w:hAnsi="Times New Roman" w:cs="Times New Roman"/>
          <w:szCs w:val="20"/>
        </w:rPr>
        <w:t>s.29 allows a cohabitant to apply to the courts for a transfer of property (both immoveable and moveable) from the estate of the deceased not exceeding the amount to which a surviving spouse would be entitled to.</w:t>
      </w:r>
    </w:p>
  </w:footnote>
  <w:footnote w:id="80">
    <w:p w14:paraId="3FBCE333" w14:textId="4224653F"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1028.</w:t>
      </w:r>
    </w:p>
  </w:footnote>
  <w:footnote w:id="81">
    <w:p w14:paraId="4C64F9C9" w14:textId="094CFD8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 Garb and Wood, 733.</w:t>
      </w:r>
    </w:p>
  </w:footnote>
  <w:footnote w:id="82">
    <w:p w14:paraId="58CF8130" w14:textId="69A6DD23"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1028.</w:t>
      </w:r>
    </w:p>
  </w:footnote>
  <w:footnote w:id="83">
    <w:p w14:paraId="2B9C013B"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w:t>
      </w:r>
    </w:p>
  </w:footnote>
  <w:footnote w:id="84">
    <w:p w14:paraId="4F4B1536" w14:textId="64B9A8FE" w:rsidR="003E7292" w:rsidRPr="008800B6" w:rsidRDefault="003E7292" w:rsidP="00E16B37">
      <w:pPr>
        <w:jc w:val="both"/>
        <w:rPr>
          <w:rFonts w:ascii="Times New Roman" w:hAnsi="Times New Roman" w:cs="Times New Roman"/>
          <w:sz w:val="20"/>
          <w:szCs w:val="20"/>
        </w:rPr>
      </w:pPr>
      <w:r w:rsidRPr="008800B6">
        <w:rPr>
          <w:rStyle w:val="FootnoteReference"/>
          <w:rFonts w:ascii="Times New Roman" w:hAnsi="Times New Roman" w:cs="Times New Roman"/>
          <w:sz w:val="20"/>
          <w:szCs w:val="20"/>
        </w:rPr>
        <w:footnoteRef/>
      </w:r>
      <w:r w:rsidRPr="008800B6">
        <w:rPr>
          <w:rFonts w:ascii="Times New Roman" w:hAnsi="Times New Roman" w:cs="Times New Roman"/>
          <w:sz w:val="20"/>
          <w:szCs w:val="20"/>
        </w:rPr>
        <w:t xml:space="preserve"> </w:t>
      </w:r>
      <w:r w:rsidRPr="008800B6">
        <w:rPr>
          <w:rFonts w:ascii="Times New Roman" w:hAnsi="Times New Roman" w:cs="Times New Roman"/>
          <w:color w:val="000000" w:themeColor="text1"/>
          <w:sz w:val="20"/>
          <w:szCs w:val="20"/>
        </w:rPr>
        <w:t xml:space="preserve">The problems that </w:t>
      </w:r>
      <w:r w:rsidR="008800B6">
        <w:rPr>
          <w:rFonts w:ascii="Times New Roman" w:hAnsi="Times New Roman" w:cs="Times New Roman"/>
          <w:color w:val="000000" w:themeColor="text1"/>
          <w:sz w:val="20"/>
          <w:szCs w:val="20"/>
        </w:rPr>
        <w:t xml:space="preserve">can </w:t>
      </w:r>
      <w:r w:rsidRPr="008800B6">
        <w:rPr>
          <w:rFonts w:ascii="Times New Roman" w:hAnsi="Times New Roman" w:cs="Times New Roman"/>
          <w:color w:val="000000" w:themeColor="text1"/>
          <w:sz w:val="20"/>
          <w:szCs w:val="20"/>
        </w:rPr>
        <w:t xml:space="preserve">arise from the principle of scission are recognised by the Scottish Law Commission who observed that ‘it is widely acknowledged that the scission principle leads to wide variations in the distribution of the estate depending on the location and the character of the asset’. Scottish Law Commission, </w:t>
      </w:r>
      <w:r w:rsidRPr="008800B6">
        <w:rPr>
          <w:rFonts w:ascii="Times New Roman" w:hAnsi="Times New Roman" w:cs="Times New Roman"/>
          <w:i/>
          <w:color w:val="000000" w:themeColor="text1"/>
          <w:sz w:val="20"/>
          <w:szCs w:val="20"/>
        </w:rPr>
        <w:t>Report on Succession</w:t>
      </w:r>
      <w:r w:rsidRPr="008800B6">
        <w:rPr>
          <w:rFonts w:ascii="Times New Roman" w:hAnsi="Times New Roman" w:cs="Times New Roman"/>
          <w:color w:val="000000" w:themeColor="text1"/>
          <w:sz w:val="20"/>
          <w:szCs w:val="20"/>
        </w:rPr>
        <w:t xml:space="preserve"> (Scot Law Com No 215 2009) para. 5.2., &lt;www.scotlawcom.gov.uk/files/7112/7989/7451/rep215.pdf&gt; accessed 18 December 2015. Although the Scottish Law Commission recommended that there should be a review of the principle of scission within Scotland, it is </w:t>
      </w:r>
      <w:r w:rsidR="008800B6">
        <w:rPr>
          <w:rFonts w:ascii="Times New Roman" w:hAnsi="Times New Roman" w:cs="Times New Roman"/>
          <w:color w:val="000000" w:themeColor="text1"/>
          <w:sz w:val="20"/>
          <w:szCs w:val="20"/>
        </w:rPr>
        <w:t xml:space="preserve">very </w:t>
      </w:r>
      <w:r w:rsidRPr="008800B6">
        <w:rPr>
          <w:rFonts w:ascii="Times New Roman" w:hAnsi="Times New Roman" w:cs="Times New Roman"/>
          <w:color w:val="000000" w:themeColor="text1"/>
          <w:sz w:val="20"/>
          <w:szCs w:val="20"/>
        </w:rPr>
        <w:t xml:space="preserve">unlikely that this will happen, see </w:t>
      </w:r>
      <w:proofErr w:type="spellStart"/>
      <w:r w:rsidRPr="008800B6">
        <w:rPr>
          <w:rFonts w:ascii="Times New Roman" w:hAnsi="Times New Roman" w:cs="Times New Roman"/>
          <w:color w:val="000000" w:themeColor="text1"/>
          <w:sz w:val="20"/>
          <w:szCs w:val="20"/>
        </w:rPr>
        <w:t>fn</w:t>
      </w:r>
      <w:proofErr w:type="spellEnd"/>
      <w:r w:rsidRPr="008800B6">
        <w:rPr>
          <w:rFonts w:ascii="Times New Roman" w:hAnsi="Times New Roman" w:cs="Times New Roman"/>
          <w:color w:val="000000" w:themeColor="text1"/>
          <w:sz w:val="20"/>
          <w:szCs w:val="20"/>
        </w:rPr>
        <w:t xml:space="preserve"> 90. </w:t>
      </w:r>
    </w:p>
  </w:footnote>
  <w:footnote w:id="85">
    <w:p w14:paraId="0E799083" w14:textId="2ACCFB1A"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xml:space="preserve">, 1026. </w:t>
      </w:r>
    </w:p>
  </w:footnote>
  <w:footnote w:id="86">
    <w:p w14:paraId="68A9A789" w14:textId="444C994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00D37DE8" w:rsidRPr="008800B6">
        <w:rPr>
          <w:rFonts w:ascii="Times New Roman" w:hAnsi="Times New Roman" w:cs="Times New Roman"/>
          <w:szCs w:val="20"/>
        </w:rPr>
        <w:t xml:space="preserve"> I</w:t>
      </w:r>
      <w:r w:rsidRPr="008800B6">
        <w:rPr>
          <w:rFonts w:ascii="Times New Roman" w:hAnsi="Times New Roman" w:cs="Times New Roman"/>
          <w:szCs w:val="20"/>
        </w:rPr>
        <w:t>bid., 1029. Also applies to the civil partner</w:t>
      </w:r>
      <w:r w:rsidR="008800B6">
        <w:rPr>
          <w:rFonts w:ascii="Times New Roman" w:hAnsi="Times New Roman" w:cs="Times New Roman"/>
          <w:szCs w:val="20"/>
        </w:rPr>
        <w:t>,</w:t>
      </w:r>
      <w:r w:rsidRPr="008800B6">
        <w:rPr>
          <w:rFonts w:ascii="Times New Roman" w:hAnsi="Times New Roman" w:cs="Times New Roman"/>
          <w:szCs w:val="20"/>
        </w:rPr>
        <w:t xml:space="preserve"> see Civil Partnership Act 2004 s.131.</w:t>
      </w:r>
    </w:p>
  </w:footnote>
  <w:footnote w:id="87">
    <w:p w14:paraId="4F8D2A94"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Succession (Scotland) Act 1964, Parts I and II.</w:t>
      </w:r>
    </w:p>
  </w:footnote>
  <w:footnote w:id="88">
    <w:p w14:paraId="75A75A9C" w14:textId="02A2D551"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Scottish Government, Consultation on the Law of Succession (2015) consult.scotland.gov.uk/civil-law-reform-unit/consultation-on-the-law-of-succession/user_uploads/consultation-paper---final-as-at-26-june-2015.pdf-3 accessed 16 December 2015.</w:t>
      </w:r>
    </w:p>
  </w:footnote>
  <w:footnote w:id="89">
    <w:p w14:paraId="304C13A0" w14:textId="14C9D869"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 2.8.</w:t>
      </w:r>
    </w:p>
  </w:footnote>
  <w:footnote w:id="90">
    <w:p w14:paraId="089E9307" w14:textId="465B5679" w:rsidR="008800B6" w:rsidRDefault="008800B6" w:rsidP="00B53A62">
      <w:r w:rsidRPr="00B53A62">
        <w:rPr>
          <w:rStyle w:val="FootnoteReference"/>
          <w:rFonts w:ascii="Times New Roman" w:hAnsi="Times New Roman" w:cs="Times New Roman"/>
          <w:sz w:val="20"/>
          <w:szCs w:val="20"/>
        </w:rPr>
        <w:footnoteRef/>
      </w:r>
      <w:r w:rsidRPr="00B53A62">
        <w:rPr>
          <w:rFonts w:ascii="Times New Roman" w:hAnsi="Times New Roman" w:cs="Times New Roman"/>
          <w:sz w:val="20"/>
          <w:szCs w:val="20"/>
        </w:rPr>
        <w:t xml:space="preserve"> See </w:t>
      </w:r>
      <w:r w:rsidRPr="00B53A62">
        <w:rPr>
          <w:rFonts w:ascii="Times New Roman" w:eastAsia="Times New Roman" w:hAnsi="Times New Roman" w:cs="Times New Roman"/>
          <w:sz w:val="20"/>
          <w:szCs w:val="20"/>
          <w:lang w:eastAsia="en-GB"/>
        </w:rPr>
        <w:t>Scottish Government response to the Consultation on the Law of Succession p.11 available at https://www.webarchive.org.uk/wayback/archive/3000/https://www.gov.scot/Resource/0054/00542136.pdf.</w:t>
      </w:r>
    </w:p>
  </w:footnote>
  <w:footnote w:id="91">
    <w:p w14:paraId="7199ABD3" w14:textId="0EA25FF6"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w:t>
      </w:r>
      <w:r w:rsidR="00913496" w:rsidRPr="008800B6">
        <w:rPr>
          <w:rFonts w:ascii="Times New Roman" w:hAnsi="Times New Roman" w:cs="Times New Roman"/>
          <w:szCs w:val="20"/>
        </w:rPr>
        <w:t xml:space="preserve"> </w:t>
      </w:r>
      <w:r w:rsidRPr="008800B6">
        <w:rPr>
          <w:rFonts w:ascii="Times New Roman" w:hAnsi="Times New Roman" w:cs="Times New Roman"/>
          <w:szCs w:val="20"/>
        </w:rPr>
        <w:t xml:space="preserve">1033. See Succession (Scotland) Act </w:t>
      </w:r>
      <w:r w:rsidR="00913496" w:rsidRPr="008800B6">
        <w:rPr>
          <w:rFonts w:ascii="Times New Roman" w:hAnsi="Times New Roman" w:cs="Times New Roman"/>
          <w:szCs w:val="20"/>
        </w:rPr>
        <w:t xml:space="preserve">1964 </w:t>
      </w:r>
      <w:r w:rsidRPr="008800B6">
        <w:rPr>
          <w:rFonts w:ascii="Times New Roman" w:hAnsi="Times New Roman" w:cs="Times New Roman"/>
          <w:szCs w:val="20"/>
        </w:rPr>
        <w:t>s.8</w:t>
      </w:r>
      <w:r w:rsidR="008800B6">
        <w:rPr>
          <w:rFonts w:ascii="Times New Roman" w:hAnsi="Times New Roman" w:cs="Times New Roman"/>
          <w:szCs w:val="20"/>
        </w:rPr>
        <w:t xml:space="preserve"> and 9</w:t>
      </w:r>
      <w:r w:rsidRPr="008800B6">
        <w:rPr>
          <w:rFonts w:ascii="Times New Roman" w:hAnsi="Times New Roman" w:cs="Times New Roman"/>
          <w:szCs w:val="20"/>
        </w:rPr>
        <w:t xml:space="preserve"> for the prior rights of the surviving spouse</w:t>
      </w:r>
      <w:r w:rsidR="008800B6">
        <w:rPr>
          <w:rFonts w:ascii="Times New Roman" w:hAnsi="Times New Roman" w:cs="Times New Roman"/>
          <w:szCs w:val="20"/>
        </w:rPr>
        <w:t>, etc</w:t>
      </w:r>
      <w:r w:rsidRPr="008800B6">
        <w:rPr>
          <w:rFonts w:ascii="Times New Roman" w:hAnsi="Times New Roman" w:cs="Times New Roman"/>
          <w:szCs w:val="20"/>
        </w:rPr>
        <w:t xml:space="preserve">, on intestacy, in </w:t>
      </w:r>
      <w:r w:rsidR="008800B6">
        <w:rPr>
          <w:rFonts w:ascii="Times New Roman" w:hAnsi="Times New Roman" w:cs="Times New Roman"/>
          <w:szCs w:val="20"/>
        </w:rPr>
        <w:t xml:space="preserve">relation to the </w:t>
      </w:r>
      <w:r w:rsidRPr="008800B6">
        <w:rPr>
          <w:rFonts w:ascii="Times New Roman" w:hAnsi="Times New Roman" w:cs="Times New Roman"/>
          <w:szCs w:val="20"/>
        </w:rPr>
        <w:t>dwelling house</w:t>
      </w:r>
      <w:r w:rsidR="008800B6">
        <w:rPr>
          <w:rFonts w:ascii="Times New Roman" w:hAnsi="Times New Roman" w:cs="Times New Roman"/>
          <w:szCs w:val="20"/>
        </w:rPr>
        <w:t>, furniture and a lump sum of money (the values are frequently updated by statutory instruments)</w:t>
      </w:r>
      <w:r w:rsidRPr="008800B6">
        <w:rPr>
          <w:rFonts w:ascii="Times New Roman" w:hAnsi="Times New Roman" w:cs="Times New Roman"/>
          <w:szCs w:val="20"/>
        </w:rPr>
        <w:t xml:space="preserve">. </w:t>
      </w:r>
      <w:r w:rsidR="008800B6">
        <w:rPr>
          <w:rFonts w:ascii="Times New Roman" w:hAnsi="Times New Roman" w:cs="Times New Roman"/>
          <w:szCs w:val="20"/>
        </w:rPr>
        <w:t>These prior rights take priority over the legal rights.</w:t>
      </w:r>
    </w:p>
  </w:footnote>
  <w:footnote w:id="92">
    <w:p w14:paraId="2F61C187" w14:textId="543224C4" w:rsidR="003E7292" w:rsidRPr="008800B6" w:rsidRDefault="003E7292" w:rsidP="008800B6">
      <w:pPr>
        <w:pStyle w:val="FootnoteText"/>
        <w:rPr>
          <w:rFonts w:ascii="Times New Roman" w:hAnsi="Times New Roman" w:cs="Times New Roman"/>
          <w:szCs w:val="20"/>
          <w:lang w:val="en-US"/>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consult.scotland.gov.uk/civil-law-reform-unit/consultation-on-the-law-of-succession/user_uploads/consultation-paper---final-as-at-26-june-2015.pdf-3</w:t>
      </w:r>
      <w:r w:rsidR="00E97E19" w:rsidRPr="008800B6">
        <w:rPr>
          <w:rFonts w:ascii="Times New Roman" w:hAnsi="Times New Roman" w:cs="Times New Roman"/>
          <w:szCs w:val="20"/>
        </w:rPr>
        <w:t xml:space="preserve"> </w:t>
      </w:r>
      <w:r w:rsidRPr="008800B6">
        <w:rPr>
          <w:rFonts w:ascii="Times New Roman" w:hAnsi="Times New Roman" w:cs="Times New Roman"/>
          <w:szCs w:val="20"/>
        </w:rPr>
        <w:t>accessed 15 December 2015.</w:t>
      </w:r>
    </w:p>
  </w:footnote>
  <w:footnote w:id="93">
    <w:p w14:paraId="544A25E4" w14:textId="3B3135F6" w:rsidR="003E7292" w:rsidRPr="008800B6" w:rsidRDefault="003E7292" w:rsidP="00E16B37">
      <w:pPr>
        <w:pStyle w:val="FootnoteText"/>
        <w:jc w:val="both"/>
        <w:rPr>
          <w:rFonts w:ascii="Times New Roman" w:hAnsi="Times New Roman" w:cs="Times New Roman"/>
          <w:szCs w:val="20"/>
          <w:lang w:val="en-US"/>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w:t>
      </w:r>
      <w:r w:rsidRPr="008800B6">
        <w:rPr>
          <w:rFonts w:ascii="Times New Roman" w:hAnsi="Times New Roman" w:cs="Times New Roman"/>
          <w:szCs w:val="20"/>
          <w:lang w:val="en-US"/>
        </w:rPr>
        <w:t>Responses to the Scottish Government Consultation on Technical Issues relating to Succession, &lt;</w:t>
      </w:r>
      <w:r w:rsidRPr="008800B6">
        <w:rPr>
          <w:rFonts w:ascii="Times New Roman" w:hAnsi="Times New Roman" w:cs="Times New Roman"/>
          <w:szCs w:val="20"/>
        </w:rPr>
        <w:t>www.gov.scot/Publications/2015/07/6682/downloads#res481641&gt;</w:t>
      </w:r>
      <w:r w:rsidRPr="008800B6">
        <w:rPr>
          <w:rFonts w:ascii="Times New Roman" w:hAnsi="Times New Roman" w:cs="Times New Roman"/>
          <w:szCs w:val="20"/>
          <w:lang w:val="en-US"/>
        </w:rPr>
        <w:t xml:space="preserve"> accessed 23 July 2015</w:t>
      </w:r>
      <w:r w:rsidRPr="008800B6">
        <w:rPr>
          <w:rFonts w:ascii="Times New Roman" w:hAnsi="Times New Roman" w:cs="Times New Roman"/>
          <w:szCs w:val="20"/>
        </w:rPr>
        <w:t>.</w:t>
      </w:r>
    </w:p>
  </w:footnote>
  <w:footnote w:id="94">
    <w:p w14:paraId="3B9C9177" w14:textId="01E4A241"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&lt;www.gov.scot/Resource/0047/00478965.pdf&gt; accessed 10 December 2015.</w:t>
      </w:r>
    </w:p>
  </w:footnote>
  <w:footnote w:id="95">
    <w:p w14:paraId="008562D1" w14:textId="19923016" w:rsidR="003E7292" w:rsidRPr="008800B6" w:rsidRDefault="003E7292" w:rsidP="008800B6">
      <w:pPr>
        <w:rPr>
          <w:rFonts w:ascii="Times New Roman" w:hAnsi="Times New Roman" w:cs="Times New Roman"/>
          <w:sz w:val="20"/>
          <w:szCs w:val="20"/>
        </w:rPr>
      </w:pPr>
      <w:r w:rsidRPr="008800B6">
        <w:rPr>
          <w:rStyle w:val="FootnoteReference"/>
          <w:rFonts w:ascii="Times New Roman" w:hAnsi="Times New Roman" w:cs="Times New Roman"/>
          <w:sz w:val="20"/>
          <w:szCs w:val="20"/>
        </w:rPr>
        <w:footnoteRef/>
      </w:r>
      <w:r w:rsidRPr="008800B6">
        <w:rPr>
          <w:rFonts w:ascii="Times New Roman" w:hAnsi="Times New Roman" w:cs="Times New Roman"/>
          <w:sz w:val="20"/>
          <w:szCs w:val="20"/>
        </w:rPr>
        <w:t xml:space="preserve"> European Union Committee, </w:t>
      </w:r>
      <w:r w:rsidR="008800B6">
        <w:rPr>
          <w:rFonts w:ascii="Times New Roman" w:hAnsi="Times New Roman" w:cs="Times New Roman"/>
          <w:sz w:val="20"/>
          <w:szCs w:val="20"/>
        </w:rPr>
        <w:t>‘</w:t>
      </w:r>
      <w:r w:rsidRPr="008800B6">
        <w:rPr>
          <w:rFonts w:ascii="Times New Roman" w:hAnsi="Times New Roman" w:cs="Times New Roman"/>
          <w:sz w:val="20"/>
          <w:szCs w:val="20"/>
        </w:rPr>
        <w:t xml:space="preserve">The EU’s Regulation on Succession’, Chapter 4, para. 57. </w:t>
      </w:r>
      <w:r w:rsidR="00E97E19" w:rsidRPr="008800B6">
        <w:rPr>
          <w:rFonts w:ascii="Times New Roman" w:hAnsi="Times New Roman" w:cs="Times New Roman"/>
          <w:sz w:val="20"/>
          <w:szCs w:val="20"/>
        </w:rPr>
        <w:t>In the context of the negotiation of the Succession Regulation, t</w:t>
      </w:r>
      <w:r w:rsidRPr="008800B6">
        <w:rPr>
          <w:rFonts w:ascii="Times New Roman" w:hAnsi="Times New Roman" w:cs="Times New Roman"/>
          <w:sz w:val="20"/>
          <w:szCs w:val="20"/>
        </w:rPr>
        <w:t xml:space="preserve">he abolition of scission </w:t>
      </w:r>
      <w:r w:rsidR="00E97E19" w:rsidRPr="008800B6">
        <w:rPr>
          <w:rFonts w:ascii="Times New Roman" w:hAnsi="Times New Roman" w:cs="Times New Roman"/>
          <w:sz w:val="20"/>
          <w:szCs w:val="20"/>
        </w:rPr>
        <w:t xml:space="preserve">was welcomed by Beaumont and </w:t>
      </w:r>
      <w:proofErr w:type="spellStart"/>
      <w:r w:rsidR="00E97E19" w:rsidRPr="008800B6">
        <w:rPr>
          <w:rFonts w:ascii="Times New Roman" w:hAnsi="Times New Roman" w:cs="Times New Roman"/>
          <w:sz w:val="20"/>
          <w:szCs w:val="20"/>
        </w:rPr>
        <w:t>McEleavy</w:t>
      </w:r>
      <w:proofErr w:type="spellEnd"/>
      <w:r w:rsidRPr="008800B6">
        <w:rPr>
          <w:rFonts w:ascii="Times New Roman" w:hAnsi="Times New Roman" w:cs="Times New Roman"/>
          <w:sz w:val="20"/>
          <w:szCs w:val="20"/>
        </w:rPr>
        <w:t xml:space="preserve"> at 1064. From the English private international law perspective, Dicey advocates reform and states that this would be best achieved by treating the whole estate as one, that both immoveable property and moveable property should be governed by the law of the deceased’s domicile at the time of death</w:t>
      </w:r>
      <w:r w:rsidR="00946793" w:rsidRPr="008800B6">
        <w:rPr>
          <w:rFonts w:ascii="Times New Roman" w:hAnsi="Times New Roman" w:cs="Times New Roman"/>
          <w:sz w:val="20"/>
          <w:szCs w:val="20"/>
        </w:rPr>
        <w:t>,</w:t>
      </w:r>
      <w:r w:rsidRPr="008800B6">
        <w:rPr>
          <w:rFonts w:ascii="Times New Roman" w:hAnsi="Times New Roman" w:cs="Times New Roman"/>
          <w:sz w:val="20"/>
          <w:szCs w:val="20"/>
        </w:rPr>
        <w:t xml:space="preserve"> see Lord Collins of </w:t>
      </w:r>
      <w:proofErr w:type="spellStart"/>
      <w:r w:rsidRPr="008800B6">
        <w:rPr>
          <w:rFonts w:ascii="Times New Roman" w:hAnsi="Times New Roman" w:cs="Times New Roman"/>
          <w:sz w:val="20"/>
          <w:szCs w:val="20"/>
        </w:rPr>
        <w:t>Mapes</w:t>
      </w:r>
      <w:r w:rsidR="00E97E19" w:rsidRPr="008800B6">
        <w:rPr>
          <w:rFonts w:ascii="Times New Roman" w:hAnsi="Times New Roman" w:cs="Times New Roman"/>
          <w:sz w:val="20"/>
          <w:szCs w:val="20"/>
        </w:rPr>
        <w:t>bury</w:t>
      </w:r>
      <w:proofErr w:type="spellEnd"/>
      <w:r w:rsidRPr="008800B6" w:rsidDel="008331CD">
        <w:rPr>
          <w:rFonts w:ascii="Times New Roman" w:hAnsi="Times New Roman" w:cs="Times New Roman"/>
          <w:sz w:val="20"/>
          <w:szCs w:val="20"/>
        </w:rPr>
        <w:t xml:space="preserve"> </w:t>
      </w:r>
      <w:r w:rsidRPr="008800B6">
        <w:rPr>
          <w:rFonts w:ascii="Times New Roman" w:hAnsi="Times New Roman" w:cs="Times New Roman"/>
          <w:sz w:val="20"/>
          <w:szCs w:val="20"/>
        </w:rPr>
        <w:t xml:space="preserve">(gen. ed.) </w:t>
      </w:r>
      <w:r w:rsidRPr="008800B6">
        <w:rPr>
          <w:rFonts w:ascii="Times New Roman" w:hAnsi="Times New Roman" w:cs="Times New Roman"/>
          <w:i/>
          <w:sz w:val="20"/>
          <w:szCs w:val="20"/>
        </w:rPr>
        <w:t>Dicey, Morris and Collins on the Conflict of Laws</w:t>
      </w:r>
      <w:r w:rsidRPr="008800B6">
        <w:rPr>
          <w:rFonts w:ascii="Times New Roman" w:hAnsi="Times New Roman" w:cs="Times New Roman"/>
          <w:sz w:val="20"/>
          <w:szCs w:val="20"/>
        </w:rPr>
        <w:t xml:space="preserve"> (15</w:t>
      </w:r>
      <w:r w:rsidRPr="008800B6">
        <w:rPr>
          <w:rFonts w:ascii="Times New Roman" w:hAnsi="Times New Roman" w:cs="Times New Roman"/>
          <w:sz w:val="20"/>
          <w:szCs w:val="20"/>
          <w:vertAlign w:val="superscript"/>
        </w:rPr>
        <w:t>th</w:t>
      </w:r>
      <w:r w:rsidRPr="008800B6">
        <w:rPr>
          <w:rFonts w:ascii="Times New Roman" w:hAnsi="Times New Roman" w:cs="Times New Roman"/>
          <w:sz w:val="20"/>
          <w:szCs w:val="20"/>
        </w:rPr>
        <w:t xml:space="preserve"> edn, Sweet and Maxwell 2012) 1417. </w:t>
      </w:r>
    </w:p>
  </w:footnote>
  <w:footnote w:id="96">
    <w:p w14:paraId="00F8685F" w14:textId="20CCC1AA" w:rsidR="008800B6" w:rsidRPr="008800B6" w:rsidRDefault="000D165A" w:rsidP="008800B6">
      <w:pPr>
        <w:rPr>
          <w:rFonts w:ascii="Times New Roman" w:hAnsi="Times New Roman" w:cs="Times New Roman"/>
          <w:sz w:val="20"/>
          <w:szCs w:val="20"/>
        </w:rPr>
      </w:pPr>
      <w:r w:rsidRPr="008800B6">
        <w:rPr>
          <w:rStyle w:val="FootnoteReference"/>
          <w:rFonts w:ascii="Times New Roman" w:hAnsi="Times New Roman" w:cs="Times New Roman"/>
          <w:sz w:val="20"/>
          <w:szCs w:val="20"/>
        </w:rPr>
        <w:footnoteRef/>
      </w:r>
      <w:r w:rsidRPr="008800B6">
        <w:rPr>
          <w:rFonts w:ascii="Times New Roman" w:hAnsi="Times New Roman" w:cs="Times New Roman"/>
          <w:sz w:val="20"/>
          <w:szCs w:val="20"/>
        </w:rPr>
        <w:t xml:space="preserve"> </w:t>
      </w:r>
      <w:r w:rsidR="008800B6">
        <w:rPr>
          <w:rFonts w:ascii="Times New Roman" w:hAnsi="Times New Roman" w:cs="Times New Roman"/>
          <w:sz w:val="20"/>
          <w:szCs w:val="20"/>
        </w:rPr>
        <w:t xml:space="preserve">Tibor </w:t>
      </w:r>
      <w:proofErr w:type="spellStart"/>
      <w:r w:rsidR="008800B6" w:rsidRPr="00B53A62">
        <w:rPr>
          <w:color w:val="000000"/>
        </w:rPr>
        <w:t>Szőcs</w:t>
      </w:r>
      <w:proofErr w:type="spellEnd"/>
      <w:r w:rsidR="008800B6" w:rsidRPr="00B53A62">
        <w:rPr>
          <w:color w:val="000000"/>
        </w:rPr>
        <w:t xml:space="preserve">, </w:t>
      </w:r>
      <w:r w:rsidR="008800B6">
        <w:rPr>
          <w:rFonts w:ascii="Times New Roman" w:hAnsi="Times New Roman" w:cs="Times New Roman"/>
          <w:color w:val="000000"/>
          <w:sz w:val="20"/>
          <w:szCs w:val="20"/>
        </w:rPr>
        <w:t>‘</w:t>
      </w:r>
      <w:r w:rsidR="008800B6" w:rsidRPr="008800B6">
        <w:rPr>
          <w:rStyle w:val="Strong"/>
          <w:rFonts w:ascii="Times New Roman" w:hAnsi="Times New Roman" w:cs="Times New Roman"/>
          <w:b w:val="0"/>
          <w:bCs w:val="0"/>
          <w:color w:val="000000"/>
          <w:sz w:val="20"/>
          <w:szCs w:val="20"/>
          <w:bdr w:val="none" w:sz="0" w:space="0" w:color="auto" w:frame="1"/>
        </w:rPr>
        <w:t>The European Succession Regulation from the Perspective of the First Three Years of Its Application</w:t>
      </w:r>
      <w:r w:rsidR="008800B6">
        <w:rPr>
          <w:rStyle w:val="Strong"/>
          <w:rFonts w:ascii="Times New Roman" w:hAnsi="Times New Roman" w:cs="Times New Roman"/>
          <w:b w:val="0"/>
          <w:bCs w:val="0"/>
          <w:color w:val="000000"/>
          <w:sz w:val="20"/>
          <w:szCs w:val="20"/>
          <w:bdr w:val="none" w:sz="0" w:space="0" w:color="auto" w:frame="1"/>
        </w:rPr>
        <w:t>’</w:t>
      </w:r>
      <w:r w:rsidR="008800B6" w:rsidRPr="008800B6">
        <w:rPr>
          <w:rStyle w:val="Strong"/>
          <w:rFonts w:ascii="Times New Roman" w:hAnsi="Times New Roman" w:cs="Times New Roman"/>
          <w:b w:val="0"/>
          <w:bCs w:val="0"/>
          <w:i/>
          <w:iCs/>
          <w:color w:val="000000"/>
          <w:sz w:val="20"/>
          <w:szCs w:val="20"/>
          <w:bdr w:val="none" w:sz="0" w:space="0" w:color="auto" w:frame="1"/>
        </w:rPr>
        <w:t>,  ELTE Law Journal</w:t>
      </w:r>
      <w:r w:rsidR="008800B6" w:rsidRPr="008800B6">
        <w:rPr>
          <w:rStyle w:val="Strong"/>
          <w:rFonts w:ascii="Times New Roman" w:hAnsi="Times New Roman" w:cs="Times New Roman"/>
          <w:b w:val="0"/>
          <w:bCs w:val="0"/>
          <w:color w:val="000000"/>
          <w:sz w:val="20"/>
          <w:szCs w:val="20"/>
          <w:bdr w:val="none" w:sz="0" w:space="0" w:color="auto" w:frame="1"/>
        </w:rPr>
        <w:t xml:space="preserve"> (2019) Part IV, available at </w:t>
      </w:r>
      <w:hyperlink r:id="rId1" w:history="1">
        <w:r w:rsidR="008800B6" w:rsidRPr="008800B6">
          <w:rPr>
            <w:rStyle w:val="Hyperlink"/>
            <w:rFonts w:ascii="Times New Roman" w:hAnsi="Times New Roman" w:cs="Times New Roman"/>
            <w:sz w:val="20"/>
            <w:szCs w:val="20"/>
            <w:bdr w:val="none" w:sz="0" w:space="0" w:color="auto" w:frame="1"/>
          </w:rPr>
          <w:t>https://eltelawjournal.hu/the-european-succession-regulation-from-the-perspective-of-the-first-three-years-of-its-application/</w:t>
        </w:r>
      </w:hyperlink>
      <w:r w:rsidR="008800B6" w:rsidRPr="008800B6">
        <w:rPr>
          <w:rStyle w:val="Strong"/>
          <w:rFonts w:ascii="Times New Roman" w:hAnsi="Times New Roman" w:cs="Times New Roman"/>
          <w:b w:val="0"/>
          <w:bCs w:val="0"/>
          <w:color w:val="000000"/>
          <w:sz w:val="20"/>
          <w:szCs w:val="20"/>
          <w:bdr w:val="none" w:sz="0" w:space="0" w:color="auto" w:frame="1"/>
        </w:rPr>
        <w:t xml:space="preserve">. </w:t>
      </w:r>
      <w:r w:rsidR="008800B6" w:rsidRPr="00B53A62">
        <w:rPr>
          <w:rFonts w:ascii="Times New Roman" w:hAnsi="Times New Roman" w:cs="Times New Roman"/>
          <w:color w:val="666666"/>
          <w:sz w:val="20"/>
          <w:szCs w:val="20"/>
          <w:shd w:val="clear" w:color="auto" w:fill="FFFFFF"/>
        </w:rPr>
        <w:t> </w:t>
      </w:r>
      <w:r w:rsidR="008800B6" w:rsidRPr="00B53A62">
        <w:rPr>
          <w:rFonts w:ascii="Times New Roman" w:hAnsi="Times New Roman" w:cs="Times New Roman"/>
          <w:sz w:val="20"/>
          <w:szCs w:val="20"/>
        </w:rPr>
        <w:t> </w:t>
      </w:r>
      <w:hyperlink r:id="rId2" w:history="1">
        <w:r w:rsidR="008800B6" w:rsidRPr="00B53A62">
          <w:rPr>
            <w:rStyle w:val="Hyperlink"/>
            <w:rFonts w:ascii="Times New Roman" w:hAnsi="Times New Roman" w:cs="Times New Roman"/>
            <w:sz w:val="20"/>
            <w:szCs w:val="20"/>
          </w:rPr>
          <w:t>Calvo Vidal, Isidoro Antonio</w:t>
        </w:r>
      </w:hyperlink>
      <w:r w:rsidR="008800B6">
        <w:rPr>
          <w:rFonts w:ascii="Times New Roman" w:hAnsi="Times New Roman" w:cs="Times New Roman"/>
          <w:sz w:val="20"/>
          <w:szCs w:val="20"/>
        </w:rPr>
        <w:t xml:space="preserve">, </w:t>
      </w:r>
      <w:hyperlink r:id="rId3" w:history="1">
        <w:r w:rsidR="008800B6" w:rsidRPr="008800B6">
          <w:rPr>
            <w:rStyle w:val="Hyperlink"/>
            <w:rFonts w:ascii="Times New Roman" w:hAnsi="Times New Roman" w:cs="Times New Roman"/>
            <w:color w:val="3366CC"/>
            <w:sz w:val="20"/>
            <w:szCs w:val="20"/>
          </w:rPr>
          <w:t>Directorate-General for Internal Policies of the Union</w:t>
        </w:r>
      </w:hyperlink>
      <w:r w:rsidR="008800B6" w:rsidRPr="008800B6">
        <w:rPr>
          <w:rFonts w:ascii="Times New Roman" w:hAnsi="Times New Roman" w:cs="Times New Roman"/>
          <w:color w:val="666666"/>
          <w:sz w:val="20"/>
          <w:szCs w:val="20"/>
          <w:shd w:val="clear" w:color="auto" w:fill="FFFFFF"/>
        </w:rPr>
        <w:t> (</w:t>
      </w:r>
      <w:hyperlink r:id="rId4" w:history="1">
        <w:r w:rsidR="008800B6" w:rsidRPr="008800B6">
          <w:rPr>
            <w:rStyle w:val="Hyperlink"/>
            <w:rFonts w:ascii="Times New Roman" w:hAnsi="Times New Roman" w:cs="Times New Roman"/>
            <w:color w:val="3366CC"/>
            <w:sz w:val="20"/>
            <w:szCs w:val="20"/>
          </w:rPr>
          <w:t>European Parliament</w:t>
        </w:r>
      </w:hyperlink>
      <w:r w:rsidR="008800B6">
        <w:rPr>
          <w:rFonts w:ascii="Times New Roman" w:hAnsi="Times New Roman" w:cs="Times New Roman"/>
          <w:color w:val="666666"/>
          <w:sz w:val="20"/>
          <w:szCs w:val="20"/>
          <w:shd w:val="clear" w:color="auto" w:fill="FFFFFF"/>
        </w:rPr>
        <w:t>) ‘</w:t>
      </w:r>
      <w:r w:rsidR="008800B6" w:rsidRPr="008800B6">
        <w:rPr>
          <w:rFonts w:ascii="Times New Roman" w:hAnsi="Times New Roman" w:cs="Times New Roman"/>
          <w:color w:val="112250"/>
          <w:sz w:val="20"/>
          <w:szCs w:val="20"/>
        </w:rPr>
        <w:t>The state of implementation of the EU Succession Regulation’s provisions on public policy’s exception, universal application and renvoi, the European Certificate of Succession and access to registers</w:t>
      </w:r>
      <w:r w:rsidR="008800B6">
        <w:rPr>
          <w:rFonts w:ascii="Times New Roman" w:hAnsi="Times New Roman" w:cs="Times New Roman"/>
          <w:color w:val="112250"/>
          <w:sz w:val="20"/>
          <w:szCs w:val="20"/>
        </w:rPr>
        <w:t>’</w:t>
      </w:r>
      <w:r w:rsidR="008800B6">
        <w:rPr>
          <w:rFonts w:ascii="Times New Roman" w:hAnsi="Times New Roman" w:cs="Times New Roman"/>
          <w:b/>
          <w:bCs/>
          <w:color w:val="112250"/>
          <w:sz w:val="20"/>
          <w:szCs w:val="20"/>
        </w:rPr>
        <w:t xml:space="preserve"> </w:t>
      </w:r>
      <w:r w:rsidR="008800B6" w:rsidRPr="008800B6">
        <w:rPr>
          <w:rStyle w:val="Strong"/>
          <w:rFonts w:ascii="Times New Roman" w:hAnsi="Times New Roman" w:cs="Times New Roman"/>
          <w:b w:val="0"/>
          <w:bCs w:val="0"/>
          <w:color w:val="000000"/>
          <w:sz w:val="20"/>
          <w:szCs w:val="20"/>
          <w:bdr w:val="none" w:sz="0" w:space="0" w:color="auto" w:frame="1"/>
        </w:rPr>
        <w:t xml:space="preserve">(2017) 7 available at </w:t>
      </w:r>
      <w:hyperlink r:id="rId5" w:history="1">
        <w:r w:rsidR="008800B6" w:rsidRPr="009C10B4">
          <w:rPr>
            <w:rStyle w:val="Hyperlink"/>
            <w:rFonts w:ascii="Times New Roman" w:hAnsi="Times New Roman" w:cs="Times New Roman"/>
            <w:sz w:val="20"/>
            <w:szCs w:val="20"/>
            <w:bdr w:val="none" w:sz="0" w:space="0" w:color="auto" w:frame="1"/>
          </w:rPr>
          <w:t>https://www.europarl.europa.eu/RegData/etudes/BRIE/2017/596821/IPOL_BRI(2017)596821_EN.pdf</w:t>
        </w:r>
      </w:hyperlink>
    </w:p>
  </w:footnote>
  <w:footnote w:id="97">
    <w:p w14:paraId="182CA493" w14:textId="5A24CA2A" w:rsidR="003E7292" w:rsidRPr="008800B6" w:rsidRDefault="003E7292" w:rsidP="008800B6">
      <w:pPr>
        <w:rPr>
          <w:rFonts w:ascii="Times New Roman" w:hAnsi="Times New Roman" w:cs="Times New Roman"/>
          <w:sz w:val="20"/>
          <w:szCs w:val="20"/>
        </w:rPr>
      </w:pPr>
      <w:r w:rsidRPr="008800B6">
        <w:rPr>
          <w:rStyle w:val="FootnoteReference"/>
          <w:rFonts w:ascii="Times New Roman" w:hAnsi="Times New Roman" w:cs="Times New Roman"/>
          <w:sz w:val="20"/>
          <w:szCs w:val="20"/>
        </w:rPr>
        <w:footnoteRef/>
      </w:r>
      <w:r w:rsidRPr="008800B6">
        <w:rPr>
          <w:rFonts w:ascii="Times New Roman" w:hAnsi="Times New Roman" w:cs="Times New Roman"/>
          <w:sz w:val="20"/>
          <w:szCs w:val="20"/>
        </w:rPr>
        <w:t xml:space="preserve"> Oliver Parker, ‘EU’s Regulation on Succession’, Evidence, Wednesday 16 December 2009 Q128. &lt;www.publications.parliament.uk/pa/ld200910/ldselect/ldeucom/75/75.pdf&gt; accessed 15 December 2015.</w:t>
      </w:r>
    </w:p>
  </w:footnote>
  <w:footnote w:id="98">
    <w:p w14:paraId="24BB29F4" w14:textId="57B14EFE" w:rsidR="00156C49" w:rsidRPr="008800B6" w:rsidRDefault="00156C49">
      <w:pPr>
        <w:pStyle w:val="FootnoteText"/>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Holliday</w:t>
      </w:r>
      <w:r w:rsidR="00E97E19" w:rsidRPr="008800B6">
        <w:rPr>
          <w:rFonts w:ascii="Times New Roman" w:hAnsi="Times New Roman" w:cs="Times New Roman"/>
          <w:szCs w:val="20"/>
        </w:rPr>
        <w:t xml:space="preserve"> (2020)</w:t>
      </w:r>
      <w:r w:rsidRPr="008800B6">
        <w:rPr>
          <w:rFonts w:ascii="Times New Roman" w:hAnsi="Times New Roman" w:cs="Times New Roman"/>
          <w:szCs w:val="20"/>
        </w:rPr>
        <w:t xml:space="preserve"> 150.</w:t>
      </w:r>
    </w:p>
  </w:footnote>
  <w:footnote w:id="99">
    <w:p w14:paraId="6C6055B3" w14:textId="5A1BE1B8"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00D41278" w:rsidRPr="008800B6">
        <w:rPr>
          <w:rFonts w:ascii="Times New Roman" w:hAnsi="Times New Roman" w:cs="Times New Roman"/>
          <w:szCs w:val="20"/>
        </w:rPr>
        <w:t xml:space="preserve"> The Succession (Scotland) Act 2016 can be found at https://www.legislation.gov.uk/asp/2016/7/contents</w:t>
      </w:r>
      <w:r w:rsidRPr="008800B6">
        <w:rPr>
          <w:rFonts w:ascii="Times New Roman" w:hAnsi="Times New Roman" w:cs="Times New Roman"/>
          <w:szCs w:val="20"/>
        </w:rPr>
        <w:t>.</w:t>
      </w:r>
    </w:p>
  </w:footnote>
  <w:footnote w:id="100">
    <w:p w14:paraId="46C4AAC0" w14:textId="7AAF26FB"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Explanatory Notes, </w:t>
      </w:r>
      <w:r w:rsidR="00D41278" w:rsidRPr="008800B6">
        <w:rPr>
          <w:rFonts w:ascii="Times New Roman" w:hAnsi="Times New Roman" w:cs="Times New Roman"/>
          <w:szCs w:val="20"/>
        </w:rPr>
        <w:t>4</w:t>
      </w:r>
      <w:r w:rsidRPr="008800B6">
        <w:rPr>
          <w:rFonts w:ascii="Times New Roman" w:hAnsi="Times New Roman" w:cs="Times New Roman"/>
          <w:szCs w:val="20"/>
        </w:rPr>
        <w:t>.</w:t>
      </w:r>
    </w:p>
  </w:footnote>
  <w:footnote w:id="101">
    <w:p w14:paraId="01D76D95"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w:t>
      </w:r>
    </w:p>
  </w:footnote>
  <w:footnote w:id="102">
    <w:p w14:paraId="40939AD6" w14:textId="7777777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Ibid.</w:t>
      </w:r>
    </w:p>
  </w:footnote>
  <w:footnote w:id="103">
    <w:p w14:paraId="79A7D5F0" w14:textId="5A68D2BB"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Beaumont and </w:t>
      </w:r>
      <w:proofErr w:type="spellStart"/>
      <w:r w:rsidRPr="008800B6">
        <w:rPr>
          <w:rFonts w:ascii="Times New Roman" w:hAnsi="Times New Roman" w:cs="Times New Roman"/>
          <w:szCs w:val="20"/>
        </w:rPr>
        <w:t>McEleavy</w:t>
      </w:r>
      <w:proofErr w:type="spellEnd"/>
      <w:r w:rsidRPr="008800B6">
        <w:rPr>
          <w:rFonts w:ascii="Times New Roman" w:hAnsi="Times New Roman" w:cs="Times New Roman"/>
          <w:szCs w:val="20"/>
        </w:rPr>
        <w:t>, 1062.</w:t>
      </w:r>
    </w:p>
  </w:footnote>
  <w:footnote w:id="104">
    <w:p w14:paraId="36C752FF" w14:textId="2C7774E7"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Explanatory Notes, </w:t>
      </w:r>
      <w:r w:rsidR="00556A1D" w:rsidRPr="008800B6">
        <w:rPr>
          <w:rFonts w:ascii="Times New Roman" w:hAnsi="Times New Roman" w:cs="Times New Roman"/>
          <w:szCs w:val="20"/>
        </w:rPr>
        <w:t>68</w:t>
      </w:r>
      <w:r w:rsidR="0061617D" w:rsidRPr="008800B6">
        <w:rPr>
          <w:rFonts w:ascii="Times New Roman" w:hAnsi="Times New Roman" w:cs="Times New Roman"/>
          <w:szCs w:val="20"/>
        </w:rPr>
        <w:t>-73</w:t>
      </w:r>
      <w:r w:rsidRPr="008800B6">
        <w:rPr>
          <w:rFonts w:ascii="Times New Roman" w:hAnsi="Times New Roman" w:cs="Times New Roman"/>
          <w:szCs w:val="20"/>
        </w:rPr>
        <w:t>.</w:t>
      </w:r>
    </w:p>
  </w:footnote>
  <w:footnote w:id="105">
    <w:p w14:paraId="17C7CF64" w14:textId="7DCC965C"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w:t>
      </w:r>
      <w:r w:rsidR="0061617D" w:rsidRPr="008800B6">
        <w:rPr>
          <w:rFonts w:ascii="Times New Roman" w:hAnsi="Times New Roman" w:cs="Times New Roman"/>
          <w:szCs w:val="20"/>
        </w:rPr>
        <w:t>bi</w:t>
      </w:r>
      <w:r w:rsidRPr="008800B6">
        <w:rPr>
          <w:rFonts w:ascii="Times New Roman" w:hAnsi="Times New Roman" w:cs="Times New Roman"/>
          <w:szCs w:val="20"/>
        </w:rPr>
        <w:t>d</w:t>
      </w:r>
      <w:r w:rsidR="00556A1D" w:rsidRPr="008800B6">
        <w:rPr>
          <w:rFonts w:ascii="Times New Roman" w:hAnsi="Times New Roman" w:cs="Times New Roman"/>
          <w:szCs w:val="20"/>
        </w:rPr>
        <w:t>, 72</w:t>
      </w:r>
      <w:r w:rsidRPr="008800B6">
        <w:rPr>
          <w:rFonts w:ascii="Times New Roman" w:hAnsi="Times New Roman" w:cs="Times New Roman"/>
          <w:szCs w:val="20"/>
        </w:rPr>
        <w:t>.</w:t>
      </w:r>
    </w:p>
  </w:footnote>
  <w:footnote w:id="106">
    <w:p w14:paraId="676BDF21" w14:textId="2CB13C76"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I</w:t>
      </w:r>
      <w:r w:rsidR="0061617D" w:rsidRPr="008800B6">
        <w:rPr>
          <w:rFonts w:ascii="Times New Roman" w:hAnsi="Times New Roman" w:cs="Times New Roman"/>
          <w:szCs w:val="20"/>
        </w:rPr>
        <w:t>bi</w:t>
      </w:r>
      <w:r w:rsidRPr="008800B6">
        <w:rPr>
          <w:rFonts w:ascii="Times New Roman" w:hAnsi="Times New Roman" w:cs="Times New Roman"/>
          <w:szCs w:val="20"/>
        </w:rPr>
        <w:t>d</w:t>
      </w:r>
      <w:r w:rsidR="00556A1D" w:rsidRPr="008800B6">
        <w:rPr>
          <w:rFonts w:ascii="Times New Roman" w:hAnsi="Times New Roman" w:cs="Times New Roman"/>
          <w:szCs w:val="20"/>
        </w:rPr>
        <w:t>, 71-73</w:t>
      </w:r>
      <w:r w:rsidRPr="008800B6">
        <w:rPr>
          <w:rFonts w:ascii="Times New Roman" w:hAnsi="Times New Roman" w:cs="Times New Roman"/>
          <w:szCs w:val="20"/>
        </w:rPr>
        <w:t>.</w:t>
      </w:r>
    </w:p>
  </w:footnote>
  <w:footnote w:id="107">
    <w:p w14:paraId="305BF0D9" w14:textId="2C27EE95" w:rsidR="003E7292" w:rsidRPr="008800B6" w:rsidRDefault="003E7292" w:rsidP="00E16B37">
      <w:pPr>
        <w:pStyle w:val="FootnoteText"/>
        <w:jc w:val="both"/>
        <w:rPr>
          <w:rFonts w:ascii="Times New Roman" w:hAnsi="Times New Roman" w:cs="Times New Roman"/>
          <w:szCs w:val="20"/>
        </w:rPr>
      </w:pPr>
      <w:r w:rsidRPr="008800B6">
        <w:rPr>
          <w:rStyle w:val="FootnoteReference"/>
          <w:rFonts w:ascii="Times New Roman" w:hAnsi="Times New Roman" w:cs="Times New Roman"/>
          <w:szCs w:val="20"/>
        </w:rPr>
        <w:footnoteRef/>
      </w:r>
      <w:r w:rsidRPr="008800B6">
        <w:rPr>
          <w:rFonts w:ascii="Times New Roman" w:hAnsi="Times New Roman" w:cs="Times New Roman"/>
          <w:szCs w:val="20"/>
        </w:rPr>
        <w:t xml:space="preserve"> See Beaumont and </w:t>
      </w:r>
      <w:proofErr w:type="spellStart"/>
      <w:r w:rsidRPr="008800B6">
        <w:rPr>
          <w:rFonts w:ascii="Times New Roman" w:hAnsi="Times New Roman" w:cs="Times New Roman"/>
          <w:szCs w:val="20"/>
        </w:rPr>
        <w:t>McEleavy</w:t>
      </w:r>
      <w:proofErr w:type="spellEnd"/>
      <w:r w:rsidRPr="008800B6" w:rsidDel="001B10EC">
        <w:rPr>
          <w:rFonts w:ascii="Times New Roman" w:hAnsi="Times New Roman" w:cs="Times New Roman"/>
          <w:szCs w:val="20"/>
        </w:rPr>
        <w:t>,</w:t>
      </w:r>
      <w:r w:rsidRPr="008800B6">
        <w:rPr>
          <w:rFonts w:ascii="Times New Roman" w:hAnsi="Times New Roman" w:cs="Times New Roman"/>
          <w:szCs w:val="20"/>
        </w:rPr>
        <w:t xml:space="preserve"> 1064 advocating wider party autonomy under the Regulation and under domestic law reform in the 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A22F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32F3A"/>
    <w:multiLevelType w:val="hybridMultilevel"/>
    <w:tmpl w:val="75EC7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960CE"/>
    <w:multiLevelType w:val="hybridMultilevel"/>
    <w:tmpl w:val="960E0500"/>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086121"/>
    <w:multiLevelType w:val="hybridMultilevel"/>
    <w:tmpl w:val="D7685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3439E"/>
    <w:multiLevelType w:val="hybridMultilevel"/>
    <w:tmpl w:val="5E08F7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E1FDC"/>
    <w:multiLevelType w:val="hybridMultilevel"/>
    <w:tmpl w:val="849AA68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87ADC"/>
    <w:multiLevelType w:val="hybridMultilevel"/>
    <w:tmpl w:val="5E2AD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F4103"/>
    <w:multiLevelType w:val="hybridMultilevel"/>
    <w:tmpl w:val="A7AE6AE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196995"/>
    <w:multiLevelType w:val="hybridMultilevel"/>
    <w:tmpl w:val="F2BA7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F074FF"/>
    <w:multiLevelType w:val="hybridMultilevel"/>
    <w:tmpl w:val="68F4D98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D061E"/>
    <w:multiLevelType w:val="hybridMultilevel"/>
    <w:tmpl w:val="2E12E4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4D0C9D"/>
    <w:multiLevelType w:val="hybridMultilevel"/>
    <w:tmpl w:val="3730A3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32C42"/>
    <w:multiLevelType w:val="hybridMultilevel"/>
    <w:tmpl w:val="3EB87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6707A"/>
    <w:multiLevelType w:val="hybridMultilevel"/>
    <w:tmpl w:val="87B6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40B7C"/>
    <w:multiLevelType w:val="hybridMultilevel"/>
    <w:tmpl w:val="015A2C56"/>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440068"/>
    <w:multiLevelType w:val="hybridMultilevel"/>
    <w:tmpl w:val="B83A20A0"/>
    <w:lvl w:ilvl="0" w:tplc="B888F0E2">
      <w:start w:val="1"/>
      <w:numFmt w:val="lowerRoman"/>
      <w:lvlText w:val="%1h"/>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7"/>
  </w:num>
  <w:num w:numId="4">
    <w:abstractNumId w:val="15"/>
  </w:num>
  <w:num w:numId="5">
    <w:abstractNumId w:val="2"/>
  </w:num>
  <w:num w:numId="6">
    <w:abstractNumId w:val="0"/>
  </w:num>
  <w:num w:numId="7">
    <w:abstractNumId w:val="5"/>
  </w:num>
  <w:num w:numId="8">
    <w:abstractNumId w:val="9"/>
  </w:num>
  <w:num w:numId="9">
    <w:abstractNumId w:val="14"/>
  </w:num>
  <w:num w:numId="10">
    <w:abstractNumId w:val="12"/>
  </w:num>
  <w:num w:numId="11">
    <w:abstractNumId w:val="4"/>
  </w:num>
  <w:num w:numId="12">
    <w:abstractNumId w:val="11"/>
  </w:num>
  <w:num w:numId="13">
    <w:abstractNumId w:val="1"/>
  </w:num>
  <w:num w:numId="14">
    <w:abstractNumId w:val="3"/>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94"/>
    <w:rsid w:val="0000006D"/>
    <w:rsid w:val="000018B6"/>
    <w:rsid w:val="00015318"/>
    <w:rsid w:val="000163B2"/>
    <w:rsid w:val="00016FD0"/>
    <w:rsid w:val="00033619"/>
    <w:rsid w:val="000414BE"/>
    <w:rsid w:val="0004358B"/>
    <w:rsid w:val="0005266B"/>
    <w:rsid w:val="00055E9B"/>
    <w:rsid w:val="00060E8D"/>
    <w:rsid w:val="00075906"/>
    <w:rsid w:val="00091E7C"/>
    <w:rsid w:val="000A5D11"/>
    <w:rsid w:val="000A6E19"/>
    <w:rsid w:val="000A7FEE"/>
    <w:rsid w:val="000B0C2F"/>
    <w:rsid w:val="000B2BEB"/>
    <w:rsid w:val="000B600F"/>
    <w:rsid w:val="000C1616"/>
    <w:rsid w:val="000C2922"/>
    <w:rsid w:val="000C315B"/>
    <w:rsid w:val="000C3629"/>
    <w:rsid w:val="000D165A"/>
    <w:rsid w:val="000D2143"/>
    <w:rsid w:val="000E4E8B"/>
    <w:rsid w:val="000E728C"/>
    <w:rsid w:val="000F1A13"/>
    <w:rsid w:val="000F44E3"/>
    <w:rsid w:val="000F4ECA"/>
    <w:rsid w:val="00102149"/>
    <w:rsid w:val="00102717"/>
    <w:rsid w:val="001041B7"/>
    <w:rsid w:val="00107764"/>
    <w:rsid w:val="00110423"/>
    <w:rsid w:val="001211B1"/>
    <w:rsid w:val="001214AC"/>
    <w:rsid w:val="00122A4B"/>
    <w:rsid w:val="00127EE6"/>
    <w:rsid w:val="00130FA1"/>
    <w:rsid w:val="001326F5"/>
    <w:rsid w:val="0013601A"/>
    <w:rsid w:val="00136E48"/>
    <w:rsid w:val="001424FC"/>
    <w:rsid w:val="00151590"/>
    <w:rsid w:val="001539C4"/>
    <w:rsid w:val="00156C49"/>
    <w:rsid w:val="00180A8D"/>
    <w:rsid w:val="00180B76"/>
    <w:rsid w:val="001922DD"/>
    <w:rsid w:val="001A0AB1"/>
    <w:rsid w:val="001A54B5"/>
    <w:rsid w:val="001B00F6"/>
    <w:rsid w:val="001B10EC"/>
    <w:rsid w:val="001B2CE4"/>
    <w:rsid w:val="001B42BB"/>
    <w:rsid w:val="001C4553"/>
    <w:rsid w:val="001E3B94"/>
    <w:rsid w:val="001E449F"/>
    <w:rsid w:val="001F2080"/>
    <w:rsid w:val="002043AC"/>
    <w:rsid w:val="00207164"/>
    <w:rsid w:val="00212F0D"/>
    <w:rsid w:val="00214C86"/>
    <w:rsid w:val="00214DEE"/>
    <w:rsid w:val="00225DA6"/>
    <w:rsid w:val="0022637E"/>
    <w:rsid w:val="00232A6F"/>
    <w:rsid w:val="00232B73"/>
    <w:rsid w:val="0023407D"/>
    <w:rsid w:val="00235DA0"/>
    <w:rsid w:val="002378A8"/>
    <w:rsid w:val="00241473"/>
    <w:rsid w:val="00241EE2"/>
    <w:rsid w:val="00242378"/>
    <w:rsid w:val="002444CF"/>
    <w:rsid w:val="002455E1"/>
    <w:rsid w:val="0024761E"/>
    <w:rsid w:val="00250D49"/>
    <w:rsid w:val="00251FFF"/>
    <w:rsid w:val="00255ADD"/>
    <w:rsid w:val="0025694D"/>
    <w:rsid w:val="002613AF"/>
    <w:rsid w:val="0026145A"/>
    <w:rsid w:val="00265B2E"/>
    <w:rsid w:val="002733A0"/>
    <w:rsid w:val="00275DA5"/>
    <w:rsid w:val="0028528A"/>
    <w:rsid w:val="00294B13"/>
    <w:rsid w:val="002A18B9"/>
    <w:rsid w:val="002A26B9"/>
    <w:rsid w:val="002A5249"/>
    <w:rsid w:val="002B18D1"/>
    <w:rsid w:val="002B29E8"/>
    <w:rsid w:val="002B65DA"/>
    <w:rsid w:val="002B6E13"/>
    <w:rsid w:val="002C104E"/>
    <w:rsid w:val="002D005E"/>
    <w:rsid w:val="002D2953"/>
    <w:rsid w:val="002D4B4E"/>
    <w:rsid w:val="002D53C2"/>
    <w:rsid w:val="002E283F"/>
    <w:rsid w:val="002E4AD0"/>
    <w:rsid w:val="002E584C"/>
    <w:rsid w:val="002F159C"/>
    <w:rsid w:val="00303B2D"/>
    <w:rsid w:val="00305B0D"/>
    <w:rsid w:val="00306674"/>
    <w:rsid w:val="00313040"/>
    <w:rsid w:val="0032382D"/>
    <w:rsid w:val="00324DD9"/>
    <w:rsid w:val="003367E0"/>
    <w:rsid w:val="00346A8E"/>
    <w:rsid w:val="00350EEF"/>
    <w:rsid w:val="003652F2"/>
    <w:rsid w:val="003678FA"/>
    <w:rsid w:val="00381024"/>
    <w:rsid w:val="00387CB6"/>
    <w:rsid w:val="00394283"/>
    <w:rsid w:val="0039598D"/>
    <w:rsid w:val="00395EBE"/>
    <w:rsid w:val="00396759"/>
    <w:rsid w:val="00396A52"/>
    <w:rsid w:val="003A0040"/>
    <w:rsid w:val="003A0DA7"/>
    <w:rsid w:val="003A12AB"/>
    <w:rsid w:val="003A43C7"/>
    <w:rsid w:val="003A78C7"/>
    <w:rsid w:val="003D7E83"/>
    <w:rsid w:val="003E38F1"/>
    <w:rsid w:val="003E6B8C"/>
    <w:rsid w:val="003E7292"/>
    <w:rsid w:val="003E7A0B"/>
    <w:rsid w:val="003E7A6F"/>
    <w:rsid w:val="003F2DA8"/>
    <w:rsid w:val="003F33F4"/>
    <w:rsid w:val="003F4291"/>
    <w:rsid w:val="004003E4"/>
    <w:rsid w:val="00402C88"/>
    <w:rsid w:val="00405E5E"/>
    <w:rsid w:val="00414650"/>
    <w:rsid w:val="00421820"/>
    <w:rsid w:val="004219B3"/>
    <w:rsid w:val="00425600"/>
    <w:rsid w:val="0043051E"/>
    <w:rsid w:val="00432A57"/>
    <w:rsid w:val="00433B82"/>
    <w:rsid w:val="0043607B"/>
    <w:rsid w:val="00442CA9"/>
    <w:rsid w:val="0044410B"/>
    <w:rsid w:val="00444DEE"/>
    <w:rsid w:val="00445F32"/>
    <w:rsid w:val="00447FA4"/>
    <w:rsid w:val="00450EB2"/>
    <w:rsid w:val="00451D04"/>
    <w:rsid w:val="0045529A"/>
    <w:rsid w:val="00455C55"/>
    <w:rsid w:val="0046701D"/>
    <w:rsid w:val="004724F7"/>
    <w:rsid w:val="0048743B"/>
    <w:rsid w:val="004906FD"/>
    <w:rsid w:val="00491617"/>
    <w:rsid w:val="004916CB"/>
    <w:rsid w:val="00496CF8"/>
    <w:rsid w:val="004C091B"/>
    <w:rsid w:val="004C4F88"/>
    <w:rsid w:val="004C5FCF"/>
    <w:rsid w:val="004C7F5A"/>
    <w:rsid w:val="004D29A2"/>
    <w:rsid w:val="004D469E"/>
    <w:rsid w:val="004E022C"/>
    <w:rsid w:val="004E51E6"/>
    <w:rsid w:val="004F4152"/>
    <w:rsid w:val="005044F1"/>
    <w:rsid w:val="00513873"/>
    <w:rsid w:val="00520609"/>
    <w:rsid w:val="00522CA7"/>
    <w:rsid w:val="00526EAF"/>
    <w:rsid w:val="00534AE3"/>
    <w:rsid w:val="005358C3"/>
    <w:rsid w:val="00540572"/>
    <w:rsid w:val="0054146A"/>
    <w:rsid w:val="00547BB0"/>
    <w:rsid w:val="00556577"/>
    <w:rsid w:val="00556A1D"/>
    <w:rsid w:val="00557F46"/>
    <w:rsid w:val="0056455B"/>
    <w:rsid w:val="0057171A"/>
    <w:rsid w:val="00572492"/>
    <w:rsid w:val="00586E3B"/>
    <w:rsid w:val="00591210"/>
    <w:rsid w:val="005914AE"/>
    <w:rsid w:val="00595698"/>
    <w:rsid w:val="005A4862"/>
    <w:rsid w:val="005A7950"/>
    <w:rsid w:val="005C462A"/>
    <w:rsid w:val="005C7A57"/>
    <w:rsid w:val="005D6FD9"/>
    <w:rsid w:val="005E116D"/>
    <w:rsid w:val="005E1E6F"/>
    <w:rsid w:val="005E4A3D"/>
    <w:rsid w:val="005E716E"/>
    <w:rsid w:val="005F4FB0"/>
    <w:rsid w:val="006011D2"/>
    <w:rsid w:val="00601817"/>
    <w:rsid w:val="00602562"/>
    <w:rsid w:val="00604E5B"/>
    <w:rsid w:val="006124EB"/>
    <w:rsid w:val="00613FA8"/>
    <w:rsid w:val="00615D84"/>
    <w:rsid w:val="0061617D"/>
    <w:rsid w:val="00633798"/>
    <w:rsid w:val="00642F31"/>
    <w:rsid w:val="0064322F"/>
    <w:rsid w:val="00643AB3"/>
    <w:rsid w:val="0065631F"/>
    <w:rsid w:val="006678CF"/>
    <w:rsid w:val="00670CA4"/>
    <w:rsid w:val="00683C85"/>
    <w:rsid w:val="0069044A"/>
    <w:rsid w:val="0069573A"/>
    <w:rsid w:val="006A7CFB"/>
    <w:rsid w:val="006C1D2C"/>
    <w:rsid w:val="006C6F04"/>
    <w:rsid w:val="006E0783"/>
    <w:rsid w:val="006E29EE"/>
    <w:rsid w:val="006E357F"/>
    <w:rsid w:val="006E68A0"/>
    <w:rsid w:val="006E6A97"/>
    <w:rsid w:val="006F0ABF"/>
    <w:rsid w:val="006F30EB"/>
    <w:rsid w:val="006F794B"/>
    <w:rsid w:val="007005DD"/>
    <w:rsid w:val="00701CD0"/>
    <w:rsid w:val="00702ADA"/>
    <w:rsid w:val="00702C16"/>
    <w:rsid w:val="0070651F"/>
    <w:rsid w:val="00714B5C"/>
    <w:rsid w:val="00714CAD"/>
    <w:rsid w:val="00725036"/>
    <w:rsid w:val="00732C36"/>
    <w:rsid w:val="007403CE"/>
    <w:rsid w:val="00750E3F"/>
    <w:rsid w:val="00753BC7"/>
    <w:rsid w:val="00753E41"/>
    <w:rsid w:val="007548F7"/>
    <w:rsid w:val="00765CB8"/>
    <w:rsid w:val="007878E3"/>
    <w:rsid w:val="007B4756"/>
    <w:rsid w:val="007B647B"/>
    <w:rsid w:val="007C1D1A"/>
    <w:rsid w:val="007C2C25"/>
    <w:rsid w:val="007C34DD"/>
    <w:rsid w:val="007E17BC"/>
    <w:rsid w:val="007E1EEB"/>
    <w:rsid w:val="007F0700"/>
    <w:rsid w:val="007F358F"/>
    <w:rsid w:val="007F46B3"/>
    <w:rsid w:val="007F6BD0"/>
    <w:rsid w:val="007F7B21"/>
    <w:rsid w:val="00804077"/>
    <w:rsid w:val="008318DF"/>
    <w:rsid w:val="008331CD"/>
    <w:rsid w:val="00836932"/>
    <w:rsid w:val="0083703D"/>
    <w:rsid w:val="00840855"/>
    <w:rsid w:val="00844331"/>
    <w:rsid w:val="00844D70"/>
    <w:rsid w:val="0085460E"/>
    <w:rsid w:val="00856540"/>
    <w:rsid w:val="00856C09"/>
    <w:rsid w:val="0086166E"/>
    <w:rsid w:val="00872650"/>
    <w:rsid w:val="008749F7"/>
    <w:rsid w:val="008800B6"/>
    <w:rsid w:val="00884327"/>
    <w:rsid w:val="00886FFF"/>
    <w:rsid w:val="00893696"/>
    <w:rsid w:val="008979FA"/>
    <w:rsid w:val="008A0C5F"/>
    <w:rsid w:val="008A3486"/>
    <w:rsid w:val="008A6670"/>
    <w:rsid w:val="008A7EF5"/>
    <w:rsid w:val="008B287F"/>
    <w:rsid w:val="008B632F"/>
    <w:rsid w:val="008C2FB6"/>
    <w:rsid w:val="008C461E"/>
    <w:rsid w:val="008D27A1"/>
    <w:rsid w:val="008D5AE6"/>
    <w:rsid w:val="008E4230"/>
    <w:rsid w:val="008E72FE"/>
    <w:rsid w:val="008F0718"/>
    <w:rsid w:val="008F07D0"/>
    <w:rsid w:val="008F4DDB"/>
    <w:rsid w:val="00913496"/>
    <w:rsid w:val="0091372D"/>
    <w:rsid w:val="00922B7F"/>
    <w:rsid w:val="00924E4A"/>
    <w:rsid w:val="00927481"/>
    <w:rsid w:val="009418A2"/>
    <w:rsid w:val="009437E9"/>
    <w:rsid w:val="00946793"/>
    <w:rsid w:val="00951E93"/>
    <w:rsid w:val="009641AB"/>
    <w:rsid w:val="0096471F"/>
    <w:rsid w:val="0096615A"/>
    <w:rsid w:val="0097426E"/>
    <w:rsid w:val="00984879"/>
    <w:rsid w:val="0099618B"/>
    <w:rsid w:val="00997EBF"/>
    <w:rsid w:val="009A0175"/>
    <w:rsid w:val="009A1DBD"/>
    <w:rsid w:val="009A624A"/>
    <w:rsid w:val="009B4B77"/>
    <w:rsid w:val="009B584D"/>
    <w:rsid w:val="009B76F1"/>
    <w:rsid w:val="009D247F"/>
    <w:rsid w:val="009D5CC6"/>
    <w:rsid w:val="009D6626"/>
    <w:rsid w:val="009E323E"/>
    <w:rsid w:val="009E7C67"/>
    <w:rsid w:val="009F2C27"/>
    <w:rsid w:val="009F5AD7"/>
    <w:rsid w:val="009F79D8"/>
    <w:rsid w:val="00A0082C"/>
    <w:rsid w:val="00A0115D"/>
    <w:rsid w:val="00A01FF5"/>
    <w:rsid w:val="00A06357"/>
    <w:rsid w:val="00A1250A"/>
    <w:rsid w:val="00A1257D"/>
    <w:rsid w:val="00A17129"/>
    <w:rsid w:val="00A24BAC"/>
    <w:rsid w:val="00A26628"/>
    <w:rsid w:val="00A2686A"/>
    <w:rsid w:val="00A36B8C"/>
    <w:rsid w:val="00A37A84"/>
    <w:rsid w:val="00A40E28"/>
    <w:rsid w:val="00A4530C"/>
    <w:rsid w:val="00A504CE"/>
    <w:rsid w:val="00A54D31"/>
    <w:rsid w:val="00A576F2"/>
    <w:rsid w:val="00A6033C"/>
    <w:rsid w:val="00A60361"/>
    <w:rsid w:val="00A62191"/>
    <w:rsid w:val="00A6597F"/>
    <w:rsid w:val="00A70ED9"/>
    <w:rsid w:val="00A71070"/>
    <w:rsid w:val="00A7197D"/>
    <w:rsid w:val="00A71E24"/>
    <w:rsid w:val="00A81B33"/>
    <w:rsid w:val="00A84FD7"/>
    <w:rsid w:val="00A91331"/>
    <w:rsid w:val="00AA67BA"/>
    <w:rsid w:val="00AB0F00"/>
    <w:rsid w:val="00AB48D2"/>
    <w:rsid w:val="00AB5216"/>
    <w:rsid w:val="00AC1CC9"/>
    <w:rsid w:val="00AE0C4E"/>
    <w:rsid w:val="00AE1D04"/>
    <w:rsid w:val="00AF407A"/>
    <w:rsid w:val="00AF49BE"/>
    <w:rsid w:val="00B001CD"/>
    <w:rsid w:val="00B00949"/>
    <w:rsid w:val="00B068C1"/>
    <w:rsid w:val="00B06FE5"/>
    <w:rsid w:val="00B13471"/>
    <w:rsid w:val="00B16676"/>
    <w:rsid w:val="00B21A4D"/>
    <w:rsid w:val="00B37A3C"/>
    <w:rsid w:val="00B40F6E"/>
    <w:rsid w:val="00B41B24"/>
    <w:rsid w:val="00B41C49"/>
    <w:rsid w:val="00B45F76"/>
    <w:rsid w:val="00B46F28"/>
    <w:rsid w:val="00B50B27"/>
    <w:rsid w:val="00B514D1"/>
    <w:rsid w:val="00B53A62"/>
    <w:rsid w:val="00B6144E"/>
    <w:rsid w:val="00B65A55"/>
    <w:rsid w:val="00B740DC"/>
    <w:rsid w:val="00B87AA9"/>
    <w:rsid w:val="00B91F54"/>
    <w:rsid w:val="00B95349"/>
    <w:rsid w:val="00B957E3"/>
    <w:rsid w:val="00B966F9"/>
    <w:rsid w:val="00BA61E1"/>
    <w:rsid w:val="00BB65F3"/>
    <w:rsid w:val="00BB7C06"/>
    <w:rsid w:val="00BC3A9A"/>
    <w:rsid w:val="00BC75F4"/>
    <w:rsid w:val="00BD018B"/>
    <w:rsid w:val="00BD0300"/>
    <w:rsid w:val="00BD19D8"/>
    <w:rsid w:val="00BE4200"/>
    <w:rsid w:val="00BE7711"/>
    <w:rsid w:val="00BF1F8C"/>
    <w:rsid w:val="00BF2FA5"/>
    <w:rsid w:val="00BF430D"/>
    <w:rsid w:val="00C02491"/>
    <w:rsid w:val="00C0794C"/>
    <w:rsid w:val="00C1651E"/>
    <w:rsid w:val="00C21981"/>
    <w:rsid w:val="00C248C5"/>
    <w:rsid w:val="00C24BF8"/>
    <w:rsid w:val="00C35797"/>
    <w:rsid w:val="00C36C66"/>
    <w:rsid w:val="00C45445"/>
    <w:rsid w:val="00C4646F"/>
    <w:rsid w:val="00C46944"/>
    <w:rsid w:val="00C551AA"/>
    <w:rsid w:val="00C64993"/>
    <w:rsid w:val="00C70837"/>
    <w:rsid w:val="00C76D0C"/>
    <w:rsid w:val="00C817B5"/>
    <w:rsid w:val="00C84577"/>
    <w:rsid w:val="00C956E1"/>
    <w:rsid w:val="00C97AF8"/>
    <w:rsid w:val="00CA08F1"/>
    <w:rsid w:val="00CA16D0"/>
    <w:rsid w:val="00CA7CD3"/>
    <w:rsid w:val="00CB4F0D"/>
    <w:rsid w:val="00CB5238"/>
    <w:rsid w:val="00CD60CB"/>
    <w:rsid w:val="00CD62CE"/>
    <w:rsid w:val="00CD6BB6"/>
    <w:rsid w:val="00CE2D17"/>
    <w:rsid w:val="00CE36DC"/>
    <w:rsid w:val="00CE78C3"/>
    <w:rsid w:val="00CF063C"/>
    <w:rsid w:val="00CF1155"/>
    <w:rsid w:val="00CF3581"/>
    <w:rsid w:val="00CF39A1"/>
    <w:rsid w:val="00D005D8"/>
    <w:rsid w:val="00D01E1C"/>
    <w:rsid w:val="00D06C6A"/>
    <w:rsid w:val="00D11A50"/>
    <w:rsid w:val="00D26921"/>
    <w:rsid w:val="00D33A0E"/>
    <w:rsid w:val="00D33B69"/>
    <w:rsid w:val="00D37B42"/>
    <w:rsid w:val="00D37DE8"/>
    <w:rsid w:val="00D41278"/>
    <w:rsid w:val="00D41A93"/>
    <w:rsid w:val="00D466A1"/>
    <w:rsid w:val="00D53470"/>
    <w:rsid w:val="00D5692B"/>
    <w:rsid w:val="00D7684C"/>
    <w:rsid w:val="00D77125"/>
    <w:rsid w:val="00D779EB"/>
    <w:rsid w:val="00D80D02"/>
    <w:rsid w:val="00D817CF"/>
    <w:rsid w:val="00D8570C"/>
    <w:rsid w:val="00DA02DD"/>
    <w:rsid w:val="00DA21C7"/>
    <w:rsid w:val="00DA4C01"/>
    <w:rsid w:val="00DA6DDA"/>
    <w:rsid w:val="00DA77AE"/>
    <w:rsid w:val="00DB50B6"/>
    <w:rsid w:val="00DB52C9"/>
    <w:rsid w:val="00DD25F6"/>
    <w:rsid w:val="00DD48B7"/>
    <w:rsid w:val="00DD5147"/>
    <w:rsid w:val="00DD7B95"/>
    <w:rsid w:val="00DE1551"/>
    <w:rsid w:val="00DE24F3"/>
    <w:rsid w:val="00DE3738"/>
    <w:rsid w:val="00DE7204"/>
    <w:rsid w:val="00DE7776"/>
    <w:rsid w:val="00DF5EE1"/>
    <w:rsid w:val="00DF6106"/>
    <w:rsid w:val="00E03BDE"/>
    <w:rsid w:val="00E1024A"/>
    <w:rsid w:val="00E1087F"/>
    <w:rsid w:val="00E12AFC"/>
    <w:rsid w:val="00E12BC3"/>
    <w:rsid w:val="00E16B37"/>
    <w:rsid w:val="00E17074"/>
    <w:rsid w:val="00E34736"/>
    <w:rsid w:val="00E3581F"/>
    <w:rsid w:val="00E42C3C"/>
    <w:rsid w:val="00E44F77"/>
    <w:rsid w:val="00E475F7"/>
    <w:rsid w:val="00E636BE"/>
    <w:rsid w:val="00E70546"/>
    <w:rsid w:val="00E71CA5"/>
    <w:rsid w:val="00E75539"/>
    <w:rsid w:val="00E763D0"/>
    <w:rsid w:val="00E80856"/>
    <w:rsid w:val="00E87766"/>
    <w:rsid w:val="00E90003"/>
    <w:rsid w:val="00E91261"/>
    <w:rsid w:val="00E9197E"/>
    <w:rsid w:val="00E92BA5"/>
    <w:rsid w:val="00E942A3"/>
    <w:rsid w:val="00E94DC5"/>
    <w:rsid w:val="00E97E19"/>
    <w:rsid w:val="00EC31F5"/>
    <w:rsid w:val="00EC3297"/>
    <w:rsid w:val="00ED3676"/>
    <w:rsid w:val="00ED5DCE"/>
    <w:rsid w:val="00ED5E40"/>
    <w:rsid w:val="00ED6A3C"/>
    <w:rsid w:val="00EE470B"/>
    <w:rsid w:val="00EF6048"/>
    <w:rsid w:val="00F01104"/>
    <w:rsid w:val="00F0398F"/>
    <w:rsid w:val="00F0737B"/>
    <w:rsid w:val="00F121C0"/>
    <w:rsid w:val="00F208C2"/>
    <w:rsid w:val="00F20F44"/>
    <w:rsid w:val="00F210D0"/>
    <w:rsid w:val="00F23E47"/>
    <w:rsid w:val="00F24C55"/>
    <w:rsid w:val="00F27AA8"/>
    <w:rsid w:val="00F404A4"/>
    <w:rsid w:val="00F4187A"/>
    <w:rsid w:val="00F43A62"/>
    <w:rsid w:val="00F45E6A"/>
    <w:rsid w:val="00F5473B"/>
    <w:rsid w:val="00F562E6"/>
    <w:rsid w:val="00F576EB"/>
    <w:rsid w:val="00F57C18"/>
    <w:rsid w:val="00F620D6"/>
    <w:rsid w:val="00F6456B"/>
    <w:rsid w:val="00F66345"/>
    <w:rsid w:val="00F74C68"/>
    <w:rsid w:val="00F8266A"/>
    <w:rsid w:val="00F82E7A"/>
    <w:rsid w:val="00F839C6"/>
    <w:rsid w:val="00F86D9F"/>
    <w:rsid w:val="00FA70D1"/>
    <w:rsid w:val="00FB1EDD"/>
    <w:rsid w:val="00FB3873"/>
    <w:rsid w:val="00FB3FA6"/>
    <w:rsid w:val="00FC7DF0"/>
    <w:rsid w:val="00FD04A6"/>
    <w:rsid w:val="00FD7925"/>
    <w:rsid w:val="00FE0232"/>
    <w:rsid w:val="00FE31F7"/>
    <w:rsid w:val="00FE4A38"/>
    <w:rsid w:val="00FE6B23"/>
    <w:rsid w:val="00FF01B3"/>
    <w:rsid w:val="00FF28E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A021CC"/>
  <w15:docId w15:val="{A3EEB0DB-0096-7149-8ACB-B498E4DD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15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8800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D5DCE"/>
    <w:rPr>
      <w:rFonts w:ascii="Book Antiqua" w:hAnsi="Book Antiqua"/>
      <w:sz w:val="20"/>
    </w:rPr>
  </w:style>
  <w:style w:type="character" w:customStyle="1" w:styleId="FootnoteTextChar">
    <w:name w:val="Footnote Text Char"/>
    <w:basedOn w:val="DefaultParagraphFont"/>
    <w:link w:val="FootnoteText"/>
    <w:uiPriority w:val="99"/>
    <w:rsid w:val="00ED5DCE"/>
    <w:rPr>
      <w:rFonts w:ascii="Book Antiqua" w:hAnsi="Book Antiqua"/>
      <w:sz w:val="20"/>
    </w:rPr>
  </w:style>
  <w:style w:type="paragraph" w:customStyle="1" w:styleId="Style1">
    <w:name w:val="Style1"/>
    <w:basedOn w:val="FootnoteText"/>
    <w:qFormat/>
    <w:rsid w:val="00556577"/>
    <w:pPr>
      <w:jc w:val="both"/>
    </w:pPr>
    <w:rPr>
      <w:rFonts w:ascii="Times New Roman" w:hAnsi="Times New Roman" w:cs="Times New Roman"/>
    </w:rPr>
  </w:style>
  <w:style w:type="character" w:styleId="FootnoteReference">
    <w:name w:val="footnote reference"/>
    <w:basedOn w:val="DefaultParagraphFont"/>
    <w:uiPriority w:val="99"/>
    <w:unhideWhenUsed/>
    <w:rsid w:val="006678CF"/>
    <w:rPr>
      <w:vertAlign w:val="superscript"/>
    </w:rPr>
  </w:style>
  <w:style w:type="character" w:styleId="Hyperlink">
    <w:name w:val="Hyperlink"/>
    <w:basedOn w:val="DefaultParagraphFont"/>
    <w:uiPriority w:val="99"/>
    <w:unhideWhenUsed/>
    <w:rsid w:val="006678CF"/>
    <w:rPr>
      <w:color w:val="0000FF" w:themeColor="hyperlink"/>
      <w:u w:val="single"/>
    </w:rPr>
  </w:style>
  <w:style w:type="character" w:styleId="FollowedHyperlink">
    <w:name w:val="FollowedHyperlink"/>
    <w:basedOn w:val="DefaultParagraphFont"/>
    <w:uiPriority w:val="99"/>
    <w:semiHidden/>
    <w:unhideWhenUsed/>
    <w:rsid w:val="00F43A62"/>
    <w:rPr>
      <w:color w:val="800080" w:themeColor="followedHyperlink"/>
      <w:u w:val="single"/>
    </w:rPr>
  </w:style>
  <w:style w:type="character" w:styleId="CommentReference">
    <w:name w:val="annotation reference"/>
    <w:basedOn w:val="DefaultParagraphFont"/>
    <w:uiPriority w:val="99"/>
    <w:unhideWhenUsed/>
    <w:rsid w:val="00E03BDE"/>
    <w:rPr>
      <w:sz w:val="18"/>
      <w:szCs w:val="18"/>
    </w:rPr>
  </w:style>
  <w:style w:type="paragraph" w:styleId="CommentText">
    <w:name w:val="annotation text"/>
    <w:basedOn w:val="Normal"/>
    <w:link w:val="CommentTextChar"/>
    <w:uiPriority w:val="99"/>
    <w:unhideWhenUsed/>
    <w:rsid w:val="00E03BDE"/>
  </w:style>
  <w:style w:type="character" w:customStyle="1" w:styleId="CommentTextChar">
    <w:name w:val="Comment Text Char"/>
    <w:basedOn w:val="DefaultParagraphFont"/>
    <w:link w:val="CommentText"/>
    <w:uiPriority w:val="99"/>
    <w:rsid w:val="00E03BDE"/>
  </w:style>
  <w:style w:type="paragraph" w:styleId="CommentSubject">
    <w:name w:val="annotation subject"/>
    <w:basedOn w:val="CommentText"/>
    <w:next w:val="CommentText"/>
    <w:link w:val="CommentSubjectChar"/>
    <w:uiPriority w:val="99"/>
    <w:semiHidden/>
    <w:unhideWhenUsed/>
    <w:rsid w:val="00E03BDE"/>
    <w:rPr>
      <w:b/>
      <w:bCs/>
      <w:sz w:val="20"/>
      <w:szCs w:val="20"/>
    </w:rPr>
  </w:style>
  <w:style w:type="character" w:customStyle="1" w:styleId="CommentSubjectChar">
    <w:name w:val="Comment Subject Char"/>
    <w:basedOn w:val="CommentTextChar"/>
    <w:link w:val="CommentSubject"/>
    <w:uiPriority w:val="99"/>
    <w:semiHidden/>
    <w:rsid w:val="00E03BDE"/>
    <w:rPr>
      <w:b/>
      <w:bCs/>
      <w:sz w:val="20"/>
      <w:szCs w:val="20"/>
    </w:rPr>
  </w:style>
  <w:style w:type="paragraph" w:styleId="BalloonText">
    <w:name w:val="Balloon Text"/>
    <w:basedOn w:val="Normal"/>
    <w:link w:val="BalloonTextChar"/>
    <w:uiPriority w:val="99"/>
    <w:semiHidden/>
    <w:unhideWhenUsed/>
    <w:rsid w:val="00E03B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3BDE"/>
    <w:rPr>
      <w:rFonts w:ascii="Lucida Grande" w:hAnsi="Lucida Grande" w:cs="Lucida Grande"/>
      <w:sz w:val="18"/>
      <w:szCs w:val="18"/>
    </w:rPr>
  </w:style>
  <w:style w:type="character" w:customStyle="1" w:styleId="Heading1Char">
    <w:name w:val="Heading 1 Char"/>
    <w:basedOn w:val="DefaultParagraphFont"/>
    <w:link w:val="Heading1"/>
    <w:uiPriority w:val="9"/>
    <w:rsid w:val="00CF1155"/>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F1155"/>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CF1155"/>
    <w:pPr>
      <w:spacing w:before="120"/>
    </w:pPr>
    <w:rPr>
      <w:b/>
    </w:rPr>
  </w:style>
  <w:style w:type="paragraph" w:styleId="TOC2">
    <w:name w:val="toc 2"/>
    <w:basedOn w:val="Normal"/>
    <w:next w:val="Normal"/>
    <w:autoRedefine/>
    <w:uiPriority w:val="39"/>
    <w:semiHidden/>
    <w:unhideWhenUsed/>
    <w:rsid w:val="00CF1155"/>
    <w:pPr>
      <w:ind w:left="240"/>
    </w:pPr>
    <w:rPr>
      <w:b/>
      <w:sz w:val="22"/>
      <w:szCs w:val="22"/>
    </w:rPr>
  </w:style>
  <w:style w:type="paragraph" w:styleId="TOC3">
    <w:name w:val="toc 3"/>
    <w:basedOn w:val="Normal"/>
    <w:next w:val="Normal"/>
    <w:autoRedefine/>
    <w:uiPriority w:val="39"/>
    <w:semiHidden/>
    <w:unhideWhenUsed/>
    <w:rsid w:val="00CF1155"/>
    <w:pPr>
      <w:ind w:left="480"/>
    </w:pPr>
    <w:rPr>
      <w:sz w:val="22"/>
      <w:szCs w:val="22"/>
    </w:rPr>
  </w:style>
  <w:style w:type="paragraph" w:styleId="TOC4">
    <w:name w:val="toc 4"/>
    <w:basedOn w:val="Normal"/>
    <w:next w:val="Normal"/>
    <w:autoRedefine/>
    <w:uiPriority w:val="39"/>
    <w:semiHidden/>
    <w:unhideWhenUsed/>
    <w:rsid w:val="00CF1155"/>
    <w:pPr>
      <w:ind w:left="720"/>
    </w:pPr>
    <w:rPr>
      <w:sz w:val="20"/>
      <w:szCs w:val="20"/>
    </w:rPr>
  </w:style>
  <w:style w:type="paragraph" w:styleId="TOC5">
    <w:name w:val="toc 5"/>
    <w:basedOn w:val="Normal"/>
    <w:next w:val="Normal"/>
    <w:autoRedefine/>
    <w:uiPriority w:val="39"/>
    <w:semiHidden/>
    <w:unhideWhenUsed/>
    <w:rsid w:val="00CF1155"/>
    <w:pPr>
      <w:ind w:left="960"/>
    </w:pPr>
    <w:rPr>
      <w:sz w:val="20"/>
      <w:szCs w:val="20"/>
    </w:rPr>
  </w:style>
  <w:style w:type="paragraph" w:styleId="TOC6">
    <w:name w:val="toc 6"/>
    <w:basedOn w:val="Normal"/>
    <w:next w:val="Normal"/>
    <w:autoRedefine/>
    <w:uiPriority w:val="39"/>
    <w:semiHidden/>
    <w:unhideWhenUsed/>
    <w:rsid w:val="00CF1155"/>
    <w:pPr>
      <w:ind w:left="1200"/>
    </w:pPr>
    <w:rPr>
      <w:sz w:val="20"/>
      <w:szCs w:val="20"/>
    </w:rPr>
  </w:style>
  <w:style w:type="paragraph" w:styleId="TOC7">
    <w:name w:val="toc 7"/>
    <w:basedOn w:val="Normal"/>
    <w:next w:val="Normal"/>
    <w:autoRedefine/>
    <w:uiPriority w:val="39"/>
    <w:semiHidden/>
    <w:unhideWhenUsed/>
    <w:rsid w:val="00CF1155"/>
    <w:pPr>
      <w:ind w:left="1440"/>
    </w:pPr>
    <w:rPr>
      <w:sz w:val="20"/>
      <w:szCs w:val="20"/>
    </w:rPr>
  </w:style>
  <w:style w:type="paragraph" w:styleId="TOC8">
    <w:name w:val="toc 8"/>
    <w:basedOn w:val="Normal"/>
    <w:next w:val="Normal"/>
    <w:autoRedefine/>
    <w:uiPriority w:val="39"/>
    <w:semiHidden/>
    <w:unhideWhenUsed/>
    <w:rsid w:val="00CF1155"/>
    <w:pPr>
      <w:ind w:left="1680"/>
    </w:pPr>
    <w:rPr>
      <w:sz w:val="20"/>
      <w:szCs w:val="20"/>
    </w:rPr>
  </w:style>
  <w:style w:type="paragraph" w:styleId="TOC9">
    <w:name w:val="toc 9"/>
    <w:basedOn w:val="Normal"/>
    <w:next w:val="Normal"/>
    <w:autoRedefine/>
    <w:uiPriority w:val="39"/>
    <w:semiHidden/>
    <w:unhideWhenUsed/>
    <w:rsid w:val="00CF1155"/>
    <w:pPr>
      <w:ind w:left="1920"/>
    </w:pPr>
    <w:rPr>
      <w:sz w:val="20"/>
      <w:szCs w:val="20"/>
    </w:rPr>
  </w:style>
  <w:style w:type="paragraph" w:styleId="Footer">
    <w:name w:val="footer"/>
    <w:basedOn w:val="Normal"/>
    <w:link w:val="FooterChar"/>
    <w:uiPriority w:val="99"/>
    <w:unhideWhenUsed/>
    <w:rsid w:val="0070651F"/>
    <w:pPr>
      <w:tabs>
        <w:tab w:val="center" w:pos="4320"/>
        <w:tab w:val="right" w:pos="8640"/>
      </w:tabs>
    </w:pPr>
  </w:style>
  <w:style w:type="character" w:customStyle="1" w:styleId="FooterChar">
    <w:name w:val="Footer Char"/>
    <w:basedOn w:val="DefaultParagraphFont"/>
    <w:link w:val="Footer"/>
    <w:uiPriority w:val="99"/>
    <w:rsid w:val="0070651F"/>
  </w:style>
  <w:style w:type="character" w:styleId="PageNumber">
    <w:name w:val="page number"/>
    <w:basedOn w:val="DefaultParagraphFont"/>
    <w:uiPriority w:val="99"/>
    <w:semiHidden/>
    <w:unhideWhenUsed/>
    <w:rsid w:val="0070651F"/>
  </w:style>
  <w:style w:type="character" w:styleId="Emphasis">
    <w:name w:val="Emphasis"/>
    <w:basedOn w:val="DefaultParagraphFont"/>
    <w:uiPriority w:val="20"/>
    <w:qFormat/>
    <w:rsid w:val="004C7F5A"/>
    <w:rPr>
      <w:i/>
      <w:iCs/>
    </w:rPr>
  </w:style>
  <w:style w:type="paragraph" w:styleId="ListParagraph">
    <w:name w:val="List Paragraph"/>
    <w:basedOn w:val="Normal"/>
    <w:uiPriority w:val="34"/>
    <w:qFormat/>
    <w:rsid w:val="002D005E"/>
    <w:pPr>
      <w:ind w:left="720"/>
      <w:contextualSpacing/>
    </w:pPr>
  </w:style>
  <w:style w:type="paragraph" w:styleId="Header">
    <w:name w:val="header"/>
    <w:basedOn w:val="Normal"/>
    <w:link w:val="HeaderChar"/>
    <w:uiPriority w:val="99"/>
    <w:unhideWhenUsed/>
    <w:rsid w:val="00F86D9F"/>
    <w:pPr>
      <w:tabs>
        <w:tab w:val="center" w:pos="4513"/>
        <w:tab w:val="right" w:pos="9026"/>
      </w:tabs>
    </w:pPr>
  </w:style>
  <w:style w:type="character" w:customStyle="1" w:styleId="HeaderChar">
    <w:name w:val="Header Char"/>
    <w:basedOn w:val="DefaultParagraphFont"/>
    <w:link w:val="Header"/>
    <w:uiPriority w:val="99"/>
    <w:rsid w:val="00F86D9F"/>
  </w:style>
  <w:style w:type="paragraph" w:styleId="Revision">
    <w:name w:val="Revision"/>
    <w:hidden/>
    <w:uiPriority w:val="99"/>
    <w:semiHidden/>
    <w:rsid w:val="00107764"/>
  </w:style>
  <w:style w:type="paragraph" w:styleId="NormalWeb">
    <w:name w:val="Normal (Web)"/>
    <w:basedOn w:val="Normal"/>
    <w:uiPriority w:val="99"/>
    <w:unhideWhenUsed/>
    <w:rsid w:val="00E75539"/>
    <w:pPr>
      <w:spacing w:before="100" w:beforeAutospacing="1" w:after="100" w:afterAutospacing="1"/>
    </w:pPr>
    <w:rPr>
      <w:rFonts w:ascii="Times New Roman" w:hAnsi="Times New Roman" w:cs="Times New Roman"/>
      <w:lang w:val="en-US"/>
    </w:rPr>
  </w:style>
  <w:style w:type="paragraph" w:customStyle="1" w:styleId="Style2">
    <w:name w:val="Style2"/>
    <w:basedOn w:val="Normal"/>
    <w:qFormat/>
    <w:rsid w:val="00725036"/>
    <w:pPr>
      <w:widowControl w:val="0"/>
      <w:autoSpaceDE w:val="0"/>
      <w:autoSpaceDN w:val="0"/>
      <w:adjustRightInd w:val="0"/>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D41278"/>
    <w:rPr>
      <w:color w:val="605E5C"/>
      <w:shd w:val="clear" w:color="auto" w:fill="E1DFDD"/>
    </w:rPr>
  </w:style>
  <w:style w:type="character" w:customStyle="1" w:styleId="Heading3Char">
    <w:name w:val="Heading 3 Char"/>
    <w:basedOn w:val="DefaultParagraphFont"/>
    <w:link w:val="Heading3"/>
    <w:uiPriority w:val="9"/>
    <w:semiHidden/>
    <w:rsid w:val="008800B6"/>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880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6659">
      <w:bodyDiv w:val="1"/>
      <w:marLeft w:val="0"/>
      <w:marRight w:val="0"/>
      <w:marTop w:val="0"/>
      <w:marBottom w:val="0"/>
      <w:divBdr>
        <w:top w:val="none" w:sz="0" w:space="0" w:color="auto"/>
        <w:left w:val="none" w:sz="0" w:space="0" w:color="auto"/>
        <w:bottom w:val="none" w:sz="0" w:space="0" w:color="auto"/>
        <w:right w:val="none" w:sz="0" w:space="0" w:color="auto"/>
      </w:divBdr>
    </w:div>
    <w:div w:id="874539846">
      <w:bodyDiv w:val="1"/>
      <w:marLeft w:val="0"/>
      <w:marRight w:val="0"/>
      <w:marTop w:val="0"/>
      <w:marBottom w:val="0"/>
      <w:divBdr>
        <w:top w:val="none" w:sz="0" w:space="0" w:color="auto"/>
        <w:left w:val="none" w:sz="0" w:space="0" w:color="auto"/>
        <w:bottom w:val="none" w:sz="0" w:space="0" w:color="auto"/>
        <w:right w:val="none" w:sz="0" w:space="0" w:color="auto"/>
      </w:divBdr>
    </w:div>
    <w:div w:id="995646178">
      <w:bodyDiv w:val="1"/>
      <w:marLeft w:val="0"/>
      <w:marRight w:val="0"/>
      <w:marTop w:val="0"/>
      <w:marBottom w:val="0"/>
      <w:divBdr>
        <w:top w:val="none" w:sz="0" w:space="0" w:color="auto"/>
        <w:left w:val="none" w:sz="0" w:space="0" w:color="auto"/>
        <w:bottom w:val="none" w:sz="0" w:space="0" w:color="auto"/>
        <w:right w:val="none" w:sz="0" w:space="0" w:color="auto"/>
      </w:divBdr>
    </w:div>
    <w:div w:id="1175725722">
      <w:bodyDiv w:val="1"/>
      <w:marLeft w:val="0"/>
      <w:marRight w:val="0"/>
      <w:marTop w:val="0"/>
      <w:marBottom w:val="0"/>
      <w:divBdr>
        <w:top w:val="none" w:sz="0" w:space="0" w:color="auto"/>
        <w:left w:val="none" w:sz="0" w:space="0" w:color="auto"/>
        <w:bottom w:val="none" w:sz="0" w:space="0" w:color="auto"/>
        <w:right w:val="none" w:sz="0" w:space="0" w:color="auto"/>
      </w:divBdr>
    </w:div>
    <w:div w:id="1352683735">
      <w:bodyDiv w:val="1"/>
      <w:marLeft w:val="0"/>
      <w:marRight w:val="0"/>
      <w:marTop w:val="0"/>
      <w:marBottom w:val="0"/>
      <w:divBdr>
        <w:top w:val="none" w:sz="0" w:space="0" w:color="auto"/>
        <w:left w:val="none" w:sz="0" w:space="0" w:color="auto"/>
        <w:bottom w:val="none" w:sz="0" w:space="0" w:color="auto"/>
        <w:right w:val="none" w:sz="0" w:space="0" w:color="auto"/>
      </w:divBdr>
      <w:divsChild>
        <w:div w:id="580678843">
          <w:marLeft w:val="0"/>
          <w:marRight w:val="0"/>
          <w:marTop w:val="0"/>
          <w:marBottom w:val="0"/>
          <w:divBdr>
            <w:top w:val="none" w:sz="0" w:space="0" w:color="auto"/>
            <w:left w:val="none" w:sz="0" w:space="0" w:color="auto"/>
            <w:bottom w:val="none" w:sz="0" w:space="0" w:color="auto"/>
            <w:right w:val="none" w:sz="0" w:space="0" w:color="auto"/>
          </w:divBdr>
          <w:divsChild>
            <w:div w:id="42408859">
              <w:marLeft w:val="0"/>
              <w:marRight w:val="0"/>
              <w:marTop w:val="0"/>
              <w:marBottom w:val="0"/>
              <w:divBdr>
                <w:top w:val="none" w:sz="0" w:space="0" w:color="auto"/>
                <w:left w:val="none" w:sz="0" w:space="0" w:color="auto"/>
                <w:bottom w:val="none" w:sz="0" w:space="0" w:color="auto"/>
                <w:right w:val="none" w:sz="0" w:space="0" w:color="auto"/>
              </w:divBdr>
              <w:divsChild>
                <w:div w:id="18158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13831">
      <w:bodyDiv w:val="1"/>
      <w:marLeft w:val="0"/>
      <w:marRight w:val="0"/>
      <w:marTop w:val="0"/>
      <w:marBottom w:val="0"/>
      <w:divBdr>
        <w:top w:val="none" w:sz="0" w:space="0" w:color="auto"/>
        <w:left w:val="none" w:sz="0" w:space="0" w:color="auto"/>
        <w:bottom w:val="none" w:sz="0" w:space="0" w:color="auto"/>
        <w:right w:val="none" w:sz="0" w:space="0" w:color="auto"/>
      </w:divBdr>
      <w:divsChild>
        <w:div w:id="1324818209">
          <w:marLeft w:val="0"/>
          <w:marRight w:val="0"/>
          <w:marTop w:val="0"/>
          <w:marBottom w:val="0"/>
          <w:divBdr>
            <w:top w:val="none" w:sz="0" w:space="0" w:color="auto"/>
            <w:left w:val="none" w:sz="0" w:space="0" w:color="auto"/>
            <w:bottom w:val="none" w:sz="0" w:space="0" w:color="auto"/>
            <w:right w:val="none" w:sz="0" w:space="0" w:color="auto"/>
          </w:divBdr>
          <w:divsChild>
            <w:div w:id="2130975347">
              <w:marLeft w:val="0"/>
              <w:marRight w:val="0"/>
              <w:marTop w:val="0"/>
              <w:marBottom w:val="0"/>
              <w:divBdr>
                <w:top w:val="single" w:sz="2" w:space="0" w:color="FFFFFF"/>
                <w:left w:val="single" w:sz="6" w:space="0" w:color="FFFFFF"/>
                <w:bottom w:val="single" w:sz="6" w:space="0" w:color="FFFFFF"/>
                <w:right w:val="single" w:sz="6" w:space="0" w:color="FFFFFF"/>
              </w:divBdr>
              <w:divsChild>
                <w:div w:id="1485656577">
                  <w:marLeft w:val="0"/>
                  <w:marRight w:val="0"/>
                  <w:marTop w:val="0"/>
                  <w:marBottom w:val="0"/>
                  <w:divBdr>
                    <w:top w:val="single" w:sz="6" w:space="1" w:color="D3D3D3"/>
                    <w:left w:val="none" w:sz="0" w:space="0" w:color="auto"/>
                    <w:bottom w:val="none" w:sz="0" w:space="0" w:color="auto"/>
                    <w:right w:val="none" w:sz="0" w:space="0" w:color="auto"/>
                  </w:divBdr>
                  <w:divsChild>
                    <w:div w:id="1833982824">
                      <w:marLeft w:val="0"/>
                      <w:marRight w:val="0"/>
                      <w:marTop w:val="0"/>
                      <w:marBottom w:val="0"/>
                      <w:divBdr>
                        <w:top w:val="none" w:sz="0" w:space="0" w:color="auto"/>
                        <w:left w:val="none" w:sz="0" w:space="0" w:color="auto"/>
                        <w:bottom w:val="none" w:sz="0" w:space="0" w:color="auto"/>
                        <w:right w:val="none" w:sz="0" w:space="0" w:color="auto"/>
                      </w:divBdr>
                      <w:divsChild>
                        <w:div w:id="836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237541">
      <w:bodyDiv w:val="1"/>
      <w:marLeft w:val="0"/>
      <w:marRight w:val="0"/>
      <w:marTop w:val="0"/>
      <w:marBottom w:val="0"/>
      <w:divBdr>
        <w:top w:val="none" w:sz="0" w:space="0" w:color="auto"/>
        <w:left w:val="none" w:sz="0" w:space="0" w:color="auto"/>
        <w:bottom w:val="none" w:sz="0" w:space="0" w:color="auto"/>
        <w:right w:val="none" w:sz="0" w:space="0" w:color="auto"/>
      </w:divBdr>
    </w:div>
    <w:div w:id="1751004655">
      <w:bodyDiv w:val="1"/>
      <w:marLeft w:val="0"/>
      <w:marRight w:val="0"/>
      <w:marTop w:val="0"/>
      <w:marBottom w:val="0"/>
      <w:divBdr>
        <w:top w:val="none" w:sz="0" w:space="0" w:color="auto"/>
        <w:left w:val="none" w:sz="0" w:space="0" w:color="auto"/>
        <w:bottom w:val="none" w:sz="0" w:space="0" w:color="auto"/>
        <w:right w:val="none" w:sz="0" w:space="0" w:color="auto"/>
      </w:divBdr>
    </w:div>
    <w:div w:id="1891988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_p_id=publicationDetails_PublicationDetailsPortlet&amp;p_p_lifecycle=1&amp;p_p_state=normal&amp;p_p_mode=view&amp;_publicationDetails_PublicationDetailsPortlet_javax.portlet.action=author&amp;facet.author=EP_INTERNAL_POL&amp;language=en&amp;facet.collection=EUPub" TargetMode="External"/><Relationship Id="rId2" Type="http://schemas.openxmlformats.org/officeDocument/2006/relationships/hyperlink" Target="https://op.europa.eu/en/publication-detail?p_p_id=publicationDetails_PublicationDetailsPortlet&amp;p_p_lifecycle=1&amp;p_p_state=normal&amp;p_p_mode=view&amp;_publicationDetails_PublicationDetailsPortlet_javax.portlet.action=author&amp;facet.author=agent.Calvo+Vidal__+Isidoro+Antonio&amp;language=en&amp;facet.collection=EUPub" TargetMode="External"/><Relationship Id="rId1" Type="http://schemas.openxmlformats.org/officeDocument/2006/relationships/hyperlink" Target="https://eltelawjournal.hu/the-european-succession-regulation-from-the-perspective-of-the-first-three-years-of-its-application/" TargetMode="External"/><Relationship Id="rId5" Type="http://schemas.openxmlformats.org/officeDocument/2006/relationships/hyperlink" Target="https://www.europarl.europa.eu/RegData/etudes/BRIE/2017/596821/IPOL_BRI(2017)596821_EN.pdf" TargetMode="External"/><Relationship Id="rId4" Type="http://schemas.openxmlformats.org/officeDocument/2006/relationships/hyperlink" Target="https://op.europa.eu/en/publication-detail?p_p_id=publicationDetails_PublicationDetailsPortlet&amp;p_p_lifecycle=1&amp;p_p_state=normal&amp;p_p_mode=view&amp;_publicationDetails_PublicationDetailsPortlet_javax.portlet.action=author&amp;facet.author=EP,EP_OFF_CZE,EP_OFF_MLT,EP_OFF_CYP,EP_OFF_SPA_BCN,EP_OFF_SVN,EP_OFF_SVK,EP_EXTERN_POL,EP_OFF_FRA_MRS,EP_OFF_POL_WRO,EP_OFF_LVA,EP_OFF_NLD,EP_OFF_IRL,EP_PRES,EP_COMMU,EP_OFF_LUX,EP_OFF_FIN,EP_OFF_ITA_ROM,EP_OFF_FRA_PAR,EP_INFRA_LOGIS,EP_SG,EP_OFF_DEU_BER,EP_OFF_GBR_EDI,EP_RESEARCH,EP_LS,EP_SAFE,EP_TAXE,EP_OFF_DEU,EP_OFF_GBR,EP_OFF_POL,EP_GROUP_SEC,EP_OFF_SPA,EP_OFF_FRA,EP_OFF_ITA,EP_INTERPRET,EP_TRANSL,EP_OFF_GRC,EP_OFF_DAN,EP_OFF_PRT,EP_OFF_FRA_SXB,EP_OFF_SWE,EP_INNOV,EP_OFF_SPA_MAD,EP_OFF_LIT,EP_OFF_POL_WAW,EP_OFF_ROU,EP_GROUP,EP_OFF_USA,EP_OFF_EST,EP_OFF_ITA_MIL,EP_OFF_HUN,EP_OFF_BGR,EP_OFF_HRV,EP_OFF_BEL,EP_CMT,EP_INTERNAL_POL,EP_OFF_DEU_MUC,EP_OFF_AUT,EP_FINANCE,EP_OFF_GBR_LON,EP_PERS&amp;language=en&amp;facet.collection=EU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013D4-6ED2-C146-B728-669E549C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7341</Words>
  <Characters>39794</Characters>
  <Application>Microsoft Office Word</Application>
  <DocSecurity>0</DocSecurity>
  <Lines>663</Lines>
  <Paragraphs>190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Max-Planck-Institute Luxembourg</Company>
  <LinksUpToDate>false</LinksUpToDate>
  <CharactersWithSpaces>46945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Holliday</dc:creator>
  <cp:lastModifiedBy>Holliday, Jayne</cp:lastModifiedBy>
  <cp:revision>3</cp:revision>
  <cp:lastPrinted>2015-12-18T15:28:00Z</cp:lastPrinted>
  <dcterms:created xsi:type="dcterms:W3CDTF">2021-09-29T11:00:00Z</dcterms:created>
  <dcterms:modified xsi:type="dcterms:W3CDTF">2021-09-29T11:04:00Z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