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1641" w14:textId="77777777" w:rsidR="001D310E" w:rsidRPr="001D310E" w:rsidRDefault="001D310E" w:rsidP="001D310E">
      <w:pPr>
        <w:spacing w:after="0" w:line="276" w:lineRule="auto"/>
        <w:rPr>
          <w:b/>
          <w:bCs/>
          <w:sz w:val="26"/>
          <w:szCs w:val="26"/>
        </w:rPr>
      </w:pPr>
      <w:r w:rsidRPr="001D310E">
        <w:rPr>
          <w:b/>
          <w:bCs/>
          <w:sz w:val="26"/>
          <w:szCs w:val="26"/>
        </w:rPr>
        <w:t>Faculty Board Report Template</w:t>
      </w:r>
    </w:p>
    <w:p w14:paraId="3E437F80" w14:textId="77777777" w:rsidR="001D310E" w:rsidRPr="001D310E" w:rsidRDefault="001D310E" w:rsidP="001D310E">
      <w:pPr>
        <w:spacing w:after="0" w:line="276" w:lineRule="auto"/>
        <w:rPr>
          <w:b/>
          <w:bCs/>
          <w:sz w:val="22"/>
          <w:szCs w:val="22"/>
        </w:rPr>
      </w:pPr>
    </w:p>
    <w:p w14:paraId="3E7F1AB5" w14:textId="77777777" w:rsidR="001D310E" w:rsidRPr="001D310E" w:rsidRDefault="001D310E" w:rsidP="001D310E">
      <w:pPr>
        <w:spacing w:after="0" w:line="276" w:lineRule="auto"/>
        <w:rPr>
          <w:b/>
          <w:bCs/>
        </w:rPr>
      </w:pPr>
      <w:r w:rsidRPr="001D310E">
        <w:rPr>
          <w:b/>
          <w:bCs/>
        </w:rPr>
        <w:t>Introduction</w:t>
      </w:r>
    </w:p>
    <w:p w14:paraId="2D3056FD" w14:textId="77777777" w:rsidR="001D310E" w:rsidRPr="001D310E" w:rsidRDefault="001D310E" w:rsidP="001D310E">
      <w:pPr>
        <w:spacing w:after="0" w:line="276" w:lineRule="auto"/>
        <w:rPr>
          <w:sz w:val="22"/>
          <w:szCs w:val="22"/>
        </w:rPr>
      </w:pPr>
      <w:r w:rsidRPr="001D310E">
        <w:rPr>
          <w:sz w:val="22"/>
          <w:szCs w:val="22"/>
        </w:rPr>
        <w:t>The purpose of the Faculty Board Report is to formally report on the scrutiny undertaken by the Faculty Board.</w:t>
      </w:r>
    </w:p>
    <w:p w14:paraId="3285FB75" w14:textId="77777777" w:rsidR="001D310E" w:rsidRPr="001D310E" w:rsidRDefault="001D310E" w:rsidP="001D310E">
      <w:pPr>
        <w:spacing w:after="0" w:line="276" w:lineRule="auto"/>
        <w:rPr>
          <w:sz w:val="22"/>
          <w:szCs w:val="22"/>
        </w:rPr>
      </w:pPr>
    </w:p>
    <w:p w14:paraId="590C7F49" w14:textId="77777777" w:rsidR="001D310E" w:rsidRPr="001D310E" w:rsidRDefault="001D310E" w:rsidP="001D310E">
      <w:pPr>
        <w:spacing w:after="0" w:line="276" w:lineRule="auto"/>
        <w:rPr>
          <w:sz w:val="22"/>
          <w:szCs w:val="22"/>
        </w:rPr>
      </w:pPr>
      <w:r w:rsidRPr="001D310E">
        <w:rPr>
          <w:sz w:val="22"/>
          <w:szCs w:val="22"/>
        </w:rPr>
        <w:t xml:space="preserve">As set out in the </w:t>
      </w:r>
      <w:hyperlink r:id="rId10" w:history="1">
        <w:r w:rsidRPr="001D310E">
          <w:rPr>
            <w:rStyle w:val="Hyperlink"/>
            <w:sz w:val="22"/>
            <w:szCs w:val="22"/>
          </w:rPr>
          <w:t>Boards of Examiners Policy</w:t>
        </w:r>
      </w:hyperlink>
      <w:r w:rsidRPr="001D310E">
        <w:rPr>
          <w:sz w:val="22"/>
          <w:szCs w:val="22"/>
        </w:rPr>
        <w:t xml:space="preserve">, the purpose of Faculty Boards is to provide quality assurance at the faculty level by undertaking detailed scrutiny of the outcomes and outputs of the faculty’s assessment arrangements ensuring consistency of practice and taking steps to enhance assessment arrangements or practice in response to any outcomes of the scrutiny. Faculty Boards do not make decisions on marks or awards and do not replicate the business of either Module Boards or Awards Boards. </w:t>
      </w:r>
    </w:p>
    <w:p w14:paraId="4F7BEDCF" w14:textId="77777777" w:rsidR="001D310E" w:rsidRPr="001D310E" w:rsidRDefault="001D310E" w:rsidP="001D310E">
      <w:pPr>
        <w:spacing w:after="0" w:line="276" w:lineRule="auto"/>
        <w:rPr>
          <w:sz w:val="22"/>
          <w:szCs w:val="22"/>
        </w:rPr>
      </w:pPr>
    </w:p>
    <w:p w14:paraId="09D69627" w14:textId="041CFB53" w:rsidR="00C65700" w:rsidRDefault="001D310E" w:rsidP="001D310E">
      <w:pPr>
        <w:spacing w:after="0" w:line="276" w:lineRule="auto"/>
        <w:rPr>
          <w:sz w:val="22"/>
          <w:szCs w:val="22"/>
        </w:rPr>
      </w:pPr>
      <w:r w:rsidRPr="001D310E">
        <w:rPr>
          <w:sz w:val="22"/>
          <w:szCs w:val="22"/>
        </w:rPr>
        <w:t xml:space="preserve">The policy specifies that faculties are required to convene a meeting of its Faculty Board at least once per year. The </w:t>
      </w:r>
      <w:r w:rsidR="00EC761B">
        <w:rPr>
          <w:sz w:val="22"/>
          <w:szCs w:val="22"/>
        </w:rPr>
        <w:t xml:space="preserve">current </w:t>
      </w:r>
      <w:r w:rsidRPr="001D310E">
        <w:rPr>
          <w:sz w:val="22"/>
          <w:szCs w:val="22"/>
        </w:rPr>
        <w:t xml:space="preserve">specific expectation of faculties is that the Faculty Board will meet twice per year – once </w:t>
      </w:r>
      <w:r w:rsidR="00671D56">
        <w:rPr>
          <w:sz w:val="22"/>
          <w:szCs w:val="22"/>
        </w:rPr>
        <w:t xml:space="preserve">in June or July </w:t>
      </w:r>
      <w:r w:rsidRPr="001D310E">
        <w:rPr>
          <w:sz w:val="22"/>
          <w:szCs w:val="22"/>
        </w:rPr>
        <w:t xml:space="preserve">when </w:t>
      </w:r>
      <w:r w:rsidR="00E510E0" w:rsidRPr="001D310E">
        <w:rPr>
          <w:sz w:val="22"/>
          <w:szCs w:val="22"/>
        </w:rPr>
        <w:t>most</w:t>
      </w:r>
      <w:r w:rsidRPr="001D310E">
        <w:rPr>
          <w:sz w:val="22"/>
          <w:szCs w:val="22"/>
        </w:rPr>
        <w:t xml:space="preserve"> undergraduate assessment outputs and outcomes will be known, and then again in October when all undergraduate and postgraduate outputs will be available.</w:t>
      </w:r>
      <w:r w:rsidR="00C65700">
        <w:rPr>
          <w:sz w:val="22"/>
          <w:szCs w:val="22"/>
        </w:rPr>
        <w:t xml:space="preserve"> </w:t>
      </w:r>
      <w:r w:rsidRPr="001D310E">
        <w:rPr>
          <w:sz w:val="22"/>
          <w:szCs w:val="22"/>
        </w:rPr>
        <w:t xml:space="preserve">This report is required to be completed in two stages, </w:t>
      </w:r>
      <w:r w:rsidR="00E510E0" w:rsidRPr="001D310E">
        <w:rPr>
          <w:sz w:val="22"/>
          <w:szCs w:val="22"/>
        </w:rPr>
        <w:t>after</w:t>
      </w:r>
      <w:r w:rsidRPr="001D310E">
        <w:rPr>
          <w:sz w:val="22"/>
          <w:szCs w:val="22"/>
        </w:rPr>
        <w:t xml:space="preserve"> each meeting of the Board, with each stage of completion submitted to the Deputy Principal (Education) and the Academic Registrar. </w:t>
      </w:r>
      <w:r w:rsidR="00C65700">
        <w:rPr>
          <w:sz w:val="22"/>
          <w:szCs w:val="22"/>
        </w:rPr>
        <w:t>The two</w:t>
      </w:r>
      <w:r w:rsidR="005D5B71">
        <w:rPr>
          <w:sz w:val="22"/>
          <w:szCs w:val="22"/>
        </w:rPr>
        <w:t>-</w:t>
      </w:r>
      <w:r w:rsidR="00C65700">
        <w:rPr>
          <w:sz w:val="22"/>
          <w:szCs w:val="22"/>
        </w:rPr>
        <w:t xml:space="preserve">stage approach enables </w:t>
      </w:r>
      <w:r w:rsidR="005D5B71">
        <w:rPr>
          <w:sz w:val="22"/>
          <w:szCs w:val="22"/>
        </w:rPr>
        <w:t xml:space="preserve">both </w:t>
      </w:r>
      <w:r w:rsidR="00C65700">
        <w:rPr>
          <w:sz w:val="22"/>
          <w:szCs w:val="22"/>
        </w:rPr>
        <w:t xml:space="preserve">timely </w:t>
      </w:r>
      <w:r w:rsidR="00001310">
        <w:rPr>
          <w:sz w:val="22"/>
          <w:szCs w:val="22"/>
        </w:rPr>
        <w:t xml:space="preserve">and comprehensive </w:t>
      </w:r>
      <w:r w:rsidR="00C65700">
        <w:rPr>
          <w:sz w:val="22"/>
          <w:szCs w:val="22"/>
        </w:rPr>
        <w:t>scrutiny</w:t>
      </w:r>
      <w:r w:rsidR="00001310">
        <w:rPr>
          <w:sz w:val="22"/>
          <w:szCs w:val="22"/>
        </w:rPr>
        <w:t>.</w:t>
      </w:r>
    </w:p>
    <w:p w14:paraId="3FEC2590" w14:textId="77777777" w:rsidR="00C65700" w:rsidRDefault="00C65700" w:rsidP="001D310E">
      <w:pPr>
        <w:spacing w:after="0" w:line="276" w:lineRule="auto"/>
        <w:rPr>
          <w:sz w:val="22"/>
          <w:szCs w:val="22"/>
        </w:rPr>
      </w:pPr>
    </w:p>
    <w:p w14:paraId="3BA69F9D" w14:textId="084AFD82" w:rsidR="001D310E" w:rsidRPr="001D310E" w:rsidRDefault="001D310E" w:rsidP="001D310E">
      <w:pPr>
        <w:spacing w:after="0" w:line="276" w:lineRule="auto"/>
        <w:rPr>
          <w:sz w:val="22"/>
          <w:szCs w:val="22"/>
        </w:rPr>
      </w:pPr>
      <w:r w:rsidRPr="001D310E">
        <w:rPr>
          <w:sz w:val="22"/>
          <w:szCs w:val="22"/>
        </w:rPr>
        <w:t xml:space="preserve">The completed report provides the </w:t>
      </w:r>
      <w:proofErr w:type="gramStart"/>
      <w:r w:rsidRPr="001D310E">
        <w:rPr>
          <w:sz w:val="22"/>
          <w:szCs w:val="22"/>
        </w:rPr>
        <w:t>Faculty</w:t>
      </w:r>
      <w:proofErr w:type="gramEnd"/>
      <w:r w:rsidRPr="001D310E">
        <w:rPr>
          <w:sz w:val="22"/>
          <w:szCs w:val="22"/>
        </w:rPr>
        <w:t xml:space="preserve"> with quality assurance outcomes that then require to be acted upon and responded to as appropriate within faculty level improvement and enhancement. </w:t>
      </w:r>
      <w:r w:rsidR="00123CF3">
        <w:rPr>
          <w:sz w:val="22"/>
          <w:szCs w:val="22"/>
        </w:rPr>
        <w:t xml:space="preserve">This improvement/enhancement may relate to, for example, </w:t>
      </w:r>
      <w:r w:rsidR="00E92B9E">
        <w:rPr>
          <w:sz w:val="22"/>
          <w:szCs w:val="22"/>
        </w:rPr>
        <w:t>assessment design, consistency in staff adherence across the Faculty to University policy or procedure, staff readiness</w:t>
      </w:r>
      <w:r w:rsidR="00000F4B">
        <w:rPr>
          <w:sz w:val="22"/>
          <w:szCs w:val="22"/>
        </w:rPr>
        <w:t xml:space="preserve"> and briefing to undertake roles and responsibilities, quality of information provided to students</w:t>
      </w:r>
      <w:r w:rsidR="00471E2A">
        <w:rPr>
          <w:sz w:val="22"/>
          <w:szCs w:val="22"/>
        </w:rPr>
        <w:t xml:space="preserve">, etc. </w:t>
      </w:r>
      <w:r w:rsidRPr="001D310E">
        <w:rPr>
          <w:sz w:val="22"/>
          <w:szCs w:val="22"/>
        </w:rPr>
        <w:t>In addition, the</w:t>
      </w:r>
      <w:r w:rsidR="00471E2A">
        <w:rPr>
          <w:sz w:val="22"/>
          <w:szCs w:val="22"/>
        </w:rPr>
        <w:t xml:space="preserve"> reports </w:t>
      </w:r>
      <w:r w:rsidRPr="001D310E">
        <w:rPr>
          <w:sz w:val="22"/>
          <w:szCs w:val="22"/>
        </w:rPr>
        <w:t xml:space="preserve">are shared with the Assessment and Attainment Sub-Committee for consideration and review. Such review will seek to identify any trends of issues that may also need to be addressed at the institutional level, with its outcomes being reported to the Education Committee. </w:t>
      </w:r>
    </w:p>
    <w:p w14:paraId="4185BDDE" w14:textId="77777777" w:rsidR="008A18C6" w:rsidRPr="001D310E" w:rsidRDefault="008A18C6" w:rsidP="001D310E">
      <w:pPr>
        <w:spacing w:after="0" w:line="276" w:lineRule="auto"/>
        <w:rPr>
          <w:sz w:val="22"/>
          <w:szCs w:val="22"/>
        </w:rPr>
      </w:pPr>
    </w:p>
    <w:p w14:paraId="43FE7004" w14:textId="47FB15F2" w:rsidR="001D310E" w:rsidRDefault="001D310E" w:rsidP="001D310E">
      <w:pPr>
        <w:spacing w:after="0" w:line="276" w:lineRule="auto"/>
        <w:rPr>
          <w:b/>
          <w:bCs/>
        </w:rPr>
      </w:pPr>
      <w:r w:rsidRPr="001D310E">
        <w:rPr>
          <w:b/>
          <w:bCs/>
        </w:rPr>
        <w:t>Data and Information Sources for Faculty Boards</w:t>
      </w:r>
    </w:p>
    <w:p w14:paraId="595100F1" w14:textId="7A922D0C" w:rsidR="001D310E" w:rsidRDefault="001D310E" w:rsidP="001D310E">
      <w:pPr>
        <w:spacing w:after="0" w:line="276" w:lineRule="auto"/>
        <w:rPr>
          <w:sz w:val="22"/>
          <w:szCs w:val="22"/>
        </w:rPr>
      </w:pPr>
      <w:r>
        <w:rPr>
          <w:sz w:val="22"/>
          <w:szCs w:val="22"/>
        </w:rPr>
        <w:t xml:space="preserve">A range of data and information </w:t>
      </w:r>
      <w:r w:rsidR="004C380B">
        <w:rPr>
          <w:sz w:val="22"/>
          <w:szCs w:val="22"/>
        </w:rPr>
        <w:t xml:space="preserve">should </w:t>
      </w:r>
      <w:r>
        <w:rPr>
          <w:sz w:val="22"/>
          <w:szCs w:val="22"/>
        </w:rPr>
        <w:t>be used by Faculty Boards to inform the review and evaluation that they are required to undertake. The table below provides a non-exhaustive list of sources. In completing this report, Faculty Boards are required to confirm w</w:t>
      </w:r>
      <w:r w:rsidR="00A134ED">
        <w:rPr>
          <w:sz w:val="22"/>
          <w:szCs w:val="22"/>
        </w:rPr>
        <w:t>hich data/information</w:t>
      </w:r>
      <w:r w:rsidR="00F47C30">
        <w:rPr>
          <w:sz w:val="22"/>
          <w:szCs w:val="22"/>
        </w:rPr>
        <w:t xml:space="preserve"> has been used or referred to.</w:t>
      </w:r>
    </w:p>
    <w:p w14:paraId="2D56B271" w14:textId="77777777" w:rsidR="001D310E" w:rsidRPr="001D310E" w:rsidRDefault="001D310E" w:rsidP="001D310E">
      <w:pPr>
        <w:spacing w:after="0" w:line="276" w:lineRule="auto"/>
        <w:rPr>
          <w:sz w:val="22"/>
          <w:szCs w:val="22"/>
        </w:rPr>
      </w:pPr>
    </w:p>
    <w:tbl>
      <w:tblPr>
        <w:tblStyle w:val="TableGrid"/>
        <w:tblW w:w="0" w:type="auto"/>
        <w:tblLook w:val="04A0" w:firstRow="1" w:lastRow="0" w:firstColumn="1" w:lastColumn="0" w:noHBand="0" w:noVBand="1"/>
      </w:tblPr>
      <w:tblGrid>
        <w:gridCol w:w="5240"/>
        <w:gridCol w:w="1843"/>
        <w:gridCol w:w="1933"/>
      </w:tblGrid>
      <w:tr w:rsidR="001D310E" w14:paraId="11686015" w14:textId="77777777" w:rsidTr="001D310E">
        <w:tc>
          <w:tcPr>
            <w:tcW w:w="5240" w:type="dxa"/>
          </w:tcPr>
          <w:p w14:paraId="0CDF8F3A" w14:textId="2BBF5A93" w:rsidR="001D310E" w:rsidRPr="001D310E" w:rsidRDefault="001D310E" w:rsidP="001D310E">
            <w:pPr>
              <w:spacing w:line="276" w:lineRule="auto"/>
              <w:rPr>
                <w:b/>
                <w:bCs/>
                <w:sz w:val="22"/>
                <w:szCs w:val="22"/>
              </w:rPr>
            </w:pPr>
            <w:r w:rsidRPr="001D310E">
              <w:rPr>
                <w:b/>
                <w:bCs/>
                <w:sz w:val="22"/>
                <w:szCs w:val="22"/>
              </w:rPr>
              <w:t>Data/Information Source</w:t>
            </w:r>
          </w:p>
        </w:tc>
        <w:tc>
          <w:tcPr>
            <w:tcW w:w="1843" w:type="dxa"/>
          </w:tcPr>
          <w:p w14:paraId="77866687" w14:textId="1A026E9F" w:rsidR="001D310E" w:rsidRPr="001D310E" w:rsidRDefault="001D310E" w:rsidP="001D310E">
            <w:pPr>
              <w:spacing w:line="276" w:lineRule="auto"/>
              <w:rPr>
                <w:b/>
                <w:bCs/>
                <w:sz w:val="22"/>
                <w:szCs w:val="22"/>
              </w:rPr>
            </w:pPr>
            <w:r w:rsidRPr="001D310E">
              <w:rPr>
                <w:b/>
                <w:bCs/>
                <w:sz w:val="22"/>
                <w:szCs w:val="22"/>
              </w:rPr>
              <w:t>Used by Faculty Board at Stage 1?</w:t>
            </w:r>
          </w:p>
        </w:tc>
        <w:tc>
          <w:tcPr>
            <w:tcW w:w="1933" w:type="dxa"/>
          </w:tcPr>
          <w:p w14:paraId="7A184DAA" w14:textId="22788CA9" w:rsidR="001D310E" w:rsidRPr="001D310E" w:rsidRDefault="001D310E" w:rsidP="001D310E">
            <w:pPr>
              <w:spacing w:line="276" w:lineRule="auto"/>
              <w:rPr>
                <w:b/>
                <w:bCs/>
                <w:sz w:val="22"/>
                <w:szCs w:val="22"/>
              </w:rPr>
            </w:pPr>
            <w:r w:rsidRPr="001D310E">
              <w:rPr>
                <w:b/>
                <w:bCs/>
                <w:sz w:val="22"/>
                <w:szCs w:val="22"/>
              </w:rPr>
              <w:t>Used by Faculty Board at Stage 2?</w:t>
            </w:r>
          </w:p>
        </w:tc>
      </w:tr>
      <w:tr w:rsidR="001D310E" w14:paraId="4399327E" w14:textId="77777777" w:rsidTr="001D310E">
        <w:tc>
          <w:tcPr>
            <w:tcW w:w="5240" w:type="dxa"/>
          </w:tcPr>
          <w:p w14:paraId="6C3AB9B4" w14:textId="77777777" w:rsidR="001D310E" w:rsidRDefault="001D310E" w:rsidP="001D310E">
            <w:pPr>
              <w:spacing w:line="276" w:lineRule="auto"/>
              <w:rPr>
                <w:sz w:val="22"/>
                <w:szCs w:val="22"/>
              </w:rPr>
            </w:pPr>
          </w:p>
        </w:tc>
        <w:tc>
          <w:tcPr>
            <w:tcW w:w="1843" w:type="dxa"/>
          </w:tcPr>
          <w:p w14:paraId="23F31173" w14:textId="77777777" w:rsidR="001D310E" w:rsidRDefault="001D310E" w:rsidP="001D310E">
            <w:pPr>
              <w:spacing w:line="276" w:lineRule="auto"/>
              <w:rPr>
                <w:sz w:val="22"/>
                <w:szCs w:val="22"/>
              </w:rPr>
            </w:pPr>
          </w:p>
        </w:tc>
        <w:tc>
          <w:tcPr>
            <w:tcW w:w="1933" w:type="dxa"/>
          </w:tcPr>
          <w:p w14:paraId="3EF12159" w14:textId="77777777" w:rsidR="001D310E" w:rsidRDefault="001D310E" w:rsidP="001D310E">
            <w:pPr>
              <w:spacing w:line="276" w:lineRule="auto"/>
              <w:rPr>
                <w:sz w:val="22"/>
                <w:szCs w:val="22"/>
              </w:rPr>
            </w:pPr>
          </w:p>
        </w:tc>
      </w:tr>
      <w:tr w:rsidR="001D310E" w14:paraId="23AA9ED2" w14:textId="77777777" w:rsidTr="001D310E">
        <w:tc>
          <w:tcPr>
            <w:tcW w:w="5240" w:type="dxa"/>
          </w:tcPr>
          <w:p w14:paraId="6732D979" w14:textId="77777777" w:rsidR="001D310E" w:rsidRDefault="001D310E" w:rsidP="001D310E">
            <w:pPr>
              <w:spacing w:line="276" w:lineRule="auto"/>
              <w:rPr>
                <w:sz w:val="22"/>
                <w:szCs w:val="22"/>
              </w:rPr>
            </w:pPr>
          </w:p>
        </w:tc>
        <w:tc>
          <w:tcPr>
            <w:tcW w:w="1843" w:type="dxa"/>
          </w:tcPr>
          <w:p w14:paraId="24CDDEA9" w14:textId="77777777" w:rsidR="001D310E" w:rsidRDefault="001D310E" w:rsidP="001D310E">
            <w:pPr>
              <w:spacing w:line="276" w:lineRule="auto"/>
              <w:rPr>
                <w:sz w:val="22"/>
                <w:szCs w:val="22"/>
              </w:rPr>
            </w:pPr>
          </w:p>
        </w:tc>
        <w:tc>
          <w:tcPr>
            <w:tcW w:w="1933" w:type="dxa"/>
          </w:tcPr>
          <w:p w14:paraId="08E3BBDC" w14:textId="77777777" w:rsidR="001D310E" w:rsidRDefault="001D310E" w:rsidP="001D310E">
            <w:pPr>
              <w:spacing w:line="276" w:lineRule="auto"/>
              <w:rPr>
                <w:sz w:val="22"/>
                <w:szCs w:val="22"/>
              </w:rPr>
            </w:pPr>
          </w:p>
        </w:tc>
      </w:tr>
      <w:tr w:rsidR="001D310E" w14:paraId="798D08BD" w14:textId="77777777" w:rsidTr="001D310E">
        <w:tc>
          <w:tcPr>
            <w:tcW w:w="5240" w:type="dxa"/>
          </w:tcPr>
          <w:p w14:paraId="639BA518" w14:textId="77777777" w:rsidR="001D310E" w:rsidRDefault="001D310E" w:rsidP="001D310E">
            <w:pPr>
              <w:spacing w:line="276" w:lineRule="auto"/>
              <w:rPr>
                <w:sz w:val="22"/>
                <w:szCs w:val="22"/>
              </w:rPr>
            </w:pPr>
          </w:p>
        </w:tc>
        <w:tc>
          <w:tcPr>
            <w:tcW w:w="1843" w:type="dxa"/>
          </w:tcPr>
          <w:p w14:paraId="65197C82" w14:textId="77777777" w:rsidR="001D310E" w:rsidRDefault="001D310E" w:rsidP="001D310E">
            <w:pPr>
              <w:spacing w:line="276" w:lineRule="auto"/>
              <w:rPr>
                <w:sz w:val="22"/>
                <w:szCs w:val="22"/>
              </w:rPr>
            </w:pPr>
          </w:p>
        </w:tc>
        <w:tc>
          <w:tcPr>
            <w:tcW w:w="1933" w:type="dxa"/>
          </w:tcPr>
          <w:p w14:paraId="1DCA6B8F" w14:textId="77777777" w:rsidR="001D310E" w:rsidRDefault="001D310E" w:rsidP="001D310E">
            <w:pPr>
              <w:spacing w:line="276" w:lineRule="auto"/>
              <w:rPr>
                <w:sz w:val="22"/>
                <w:szCs w:val="22"/>
              </w:rPr>
            </w:pPr>
          </w:p>
        </w:tc>
      </w:tr>
      <w:tr w:rsidR="001D310E" w14:paraId="61C14E89" w14:textId="77777777" w:rsidTr="001D310E">
        <w:tc>
          <w:tcPr>
            <w:tcW w:w="5240" w:type="dxa"/>
          </w:tcPr>
          <w:p w14:paraId="329538EA" w14:textId="77777777" w:rsidR="001D310E" w:rsidRDefault="001D310E" w:rsidP="001D310E">
            <w:pPr>
              <w:spacing w:line="276" w:lineRule="auto"/>
              <w:rPr>
                <w:sz w:val="22"/>
                <w:szCs w:val="22"/>
              </w:rPr>
            </w:pPr>
          </w:p>
        </w:tc>
        <w:tc>
          <w:tcPr>
            <w:tcW w:w="1843" w:type="dxa"/>
          </w:tcPr>
          <w:p w14:paraId="21B54566" w14:textId="77777777" w:rsidR="001D310E" w:rsidRDefault="001D310E" w:rsidP="001D310E">
            <w:pPr>
              <w:spacing w:line="276" w:lineRule="auto"/>
              <w:rPr>
                <w:sz w:val="22"/>
                <w:szCs w:val="22"/>
              </w:rPr>
            </w:pPr>
          </w:p>
        </w:tc>
        <w:tc>
          <w:tcPr>
            <w:tcW w:w="1933" w:type="dxa"/>
          </w:tcPr>
          <w:p w14:paraId="42340C1B" w14:textId="77777777" w:rsidR="001D310E" w:rsidRDefault="001D310E" w:rsidP="001D310E">
            <w:pPr>
              <w:spacing w:line="276" w:lineRule="auto"/>
              <w:rPr>
                <w:sz w:val="22"/>
                <w:szCs w:val="22"/>
              </w:rPr>
            </w:pPr>
          </w:p>
        </w:tc>
      </w:tr>
      <w:tr w:rsidR="001D310E" w14:paraId="3C5564B0" w14:textId="77777777" w:rsidTr="001D310E">
        <w:tc>
          <w:tcPr>
            <w:tcW w:w="5240" w:type="dxa"/>
          </w:tcPr>
          <w:p w14:paraId="4FEEB8BB" w14:textId="77777777" w:rsidR="001D310E" w:rsidRDefault="001D310E" w:rsidP="001D310E">
            <w:pPr>
              <w:spacing w:line="276" w:lineRule="auto"/>
              <w:rPr>
                <w:sz w:val="22"/>
                <w:szCs w:val="22"/>
              </w:rPr>
            </w:pPr>
          </w:p>
        </w:tc>
        <w:tc>
          <w:tcPr>
            <w:tcW w:w="1843" w:type="dxa"/>
          </w:tcPr>
          <w:p w14:paraId="1431CB68" w14:textId="77777777" w:rsidR="001D310E" w:rsidRDefault="001D310E" w:rsidP="001D310E">
            <w:pPr>
              <w:spacing w:line="276" w:lineRule="auto"/>
              <w:rPr>
                <w:sz w:val="22"/>
                <w:szCs w:val="22"/>
              </w:rPr>
            </w:pPr>
          </w:p>
        </w:tc>
        <w:tc>
          <w:tcPr>
            <w:tcW w:w="1933" w:type="dxa"/>
          </w:tcPr>
          <w:p w14:paraId="555516B8" w14:textId="77777777" w:rsidR="001D310E" w:rsidRDefault="001D310E" w:rsidP="001D310E">
            <w:pPr>
              <w:spacing w:line="276" w:lineRule="auto"/>
              <w:rPr>
                <w:sz w:val="22"/>
                <w:szCs w:val="22"/>
              </w:rPr>
            </w:pPr>
          </w:p>
        </w:tc>
      </w:tr>
    </w:tbl>
    <w:p w14:paraId="5589118D" w14:textId="12B0C3B2" w:rsidR="00F47C30" w:rsidRDefault="00F47C30" w:rsidP="001D310E">
      <w:pPr>
        <w:spacing w:after="0" w:line="276" w:lineRule="auto"/>
        <w:rPr>
          <w:sz w:val="22"/>
          <w:szCs w:val="22"/>
        </w:rPr>
      </w:pPr>
    </w:p>
    <w:p w14:paraId="22504634" w14:textId="77777777" w:rsidR="00F47C30" w:rsidRDefault="00F47C30">
      <w:pPr>
        <w:rPr>
          <w:sz w:val="22"/>
          <w:szCs w:val="22"/>
        </w:rPr>
      </w:pPr>
      <w:r>
        <w:rPr>
          <w:sz w:val="22"/>
          <w:szCs w:val="22"/>
        </w:rPr>
        <w:br w:type="page"/>
      </w:r>
    </w:p>
    <w:p w14:paraId="4C23C105" w14:textId="3A1660C7" w:rsidR="001D310E" w:rsidRPr="00F47C30" w:rsidRDefault="00F47C30" w:rsidP="001D310E">
      <w:pPr>
        <w:spacing w:after="0" w:line="276" w:lineRule="auto"/>
        <w:rPr>
          <w:b/>
          <w:bCs/>
        </w:rPr>
      </w:pPr>
      <w:r w:rsidRPr="00F47C30">
        <w:rPr>
          <w:b/>
          <w:bCs/>
        </w:rPr>
        <w:lastRenderedPageBreak/>
        <w:t>Stage 1 Report</w:t>
      </w:r>
    </w:p>
    <w:p w14:paraId="0EEDAD24" w14:textId="77777777" w:rsidR="00F47C30" w:rsidRDefault="00F47C30" w:rsidP="001D310E">
      <w:pPr>
        <w:spacing w:after="0" w:line="276" w:lineRule="auto"/>
        <w:rPr>
          <w:sz w:val="22"/>
          <w:szCs w:val="22"/>
        </w:rPr>
      </w:pPr>
    </w:p>
    <w:tbl>
      <w:tblPr>
        <w:tblStyle w:val="TableGrid"/>
        <w:tblW w:w="0" w:type="auto"/>
        <w:tblLook w:val="04A0" w:firstRow="1" w:lastRow="0" w:firstColumn="1" w:lastColumn="0" w:noHBand="0" w:noVBand="1"/>
      </w:tblPr>
      <w:tblGrid>
        <w:gridCol w:w="3823"/>
        <w:gridCol w:w="5193"/>
      </w:tblGrid>
      <w:tr w:rsidR="00F47C30" w:rsidRPr="00F47C30" w14:paraId="37A9CF63" w14:textId="77777777" w:rsidTr="00461BEA">
        <w:tc>
          <w:tcPr>
            <w:tcW w:w="9016" w:type="dxa"/>
            <w:gridSpan w:val="2"/>
          </w:tcPr>
          <w:p w14:paraId="1D7C6EF7" w14:textId="77777777" w:rsidR="00F47C30" w:rsidRPr="00F47C30" w:rsidRDefault="00F47C30" w:rsidP="00F47C30">
            <w:pPr>
              <w:spacing w:line="276" w:lineRule="auto"/>
              <w:rPr>
                <w:sz w:val="22"/>
                <w:szCs w:val="22"/>
              </w:rPr>
            </w:pPr>
            <w:r w:rsidRPr="00F47C30">
              <w:rPr>
                <w:sz w:val="22"/>
                <w:szCs w:val="22"/>
              </w:rPr>
              <w:t>Matters to be reported on, in line with the remit of Faculty Boards as set out in the Boards of Examiners Policy:</w:t>
            </w:r>
          </w:p>
          <w:p w14:paraId="49B9B6B9" w14:textId="77777777" w:rsidR="00F47C30" w:rsidRPr="00F47C30" w:rsidRDefault="00F47C30" w:rsidP="00F47C30">
            <w:pPr>
              <w:numPr>
                <w:ilvl w:val="0"/>
                <w:numId w:val="5"/>
              </w:numPr>
              <w:spacing w:line="276" w:lineRule="auto"/>
              <w:rPr>
                <w:sz w:val="22"/>
                <w:szCs w:val="22"/>
              </w:rPr>
            </w:pPr>
            <w:r w:rsidRPr="00F47C30">
              <w:rPr>
                <w:sz w:val="22"/>
                <w:szCs w:val="22"/>
              </w:rPr>
              <w:t>review and evaluate the robustness of the decisions of the faculty’s Extenuating Circumstances Sub-Board, Module, Awards and Progression Boards to consider the consistency and quality of assessment, attainment outcomes and award decisions.</w:t>
            </w:r>
          </w:p>
          <w:p w14:paraId="74A3AB80" w14:textId="144673A1" w:rsidR="00F47C30" w:rsidRPr="00F47C30" w:rsidRDefault="00F47C30" w:rsidP="00F47C30">
            <w:pPr>
              <w:numPr>
                <w:ilvl w:val="0"/>
                <w:numId w:val="5"/>
              </w:numPr>
              <w:spacing w:line="276" w:lineRule="auto"/>
              <w:rPr>
                <w:sz w:val="22"/>
                <w:szCs w:val="22"/>
              </w:rPr>
            </w:pPr>
            <w:r w:rsidRPr="00F47C30">
              <w:rPr>
                <w:sz w:val="22"/>
                <w:szCs w:val="22"/>
              </w:rPr>
              <w:t xml:space="preserve">consider the External Examiners’ reports, and responses, </w:t>
            </w:r>
            <w:r w:rsidR="005D5B71" w:rsidRPr="00F47C30">
              <w:rPr>
                <w:sz w:val="22"/>
                <w:szCs w:val="22"/>
              </w:rPr>
              <w:t>to</w:t>
            </w:r>
            <w:r w:rsidRPr="00F47C30">
              <w:rPr>
                <w:sz w:val="22"/>
                <w:szCs w:val="22"/>
              </w:rPr>
              <w:t xml:space="preserve"> identify any issues, patterns, required actions or points of recommendation.</w:t>
            </w:r>
          </w:p>
          <w:p w14:paraId="45F7349A" w14:textId="77777777" w:rsidR="00F47C30" w:rsidRPr="00F47C30" w:rsidRDefault="00F47C30" w:rsidP="00F47C30">
            <w:pPr>
              <w:numPr>
                <w:ilvl w:val="0"/>
                <w:numId w:val="5"/>
              </w:numPr>
              <w:spacing w:line="276" w:lineRule="auto"/>
              <w:rPr>
                <w:sz w:val="22"/>
                <w:szCs w:val="22"/>
              </w:rPr>
            </w:pPr>
            <w:r w:rsidRPr="00F47C30">
              <w:rPr>
                <w:sz w:val="22"/>
                <w:szCs w:val="22"/>
              </w:rPr>
              <w:t>agree arrangements to share any identified best practice across subject areas.</w:t>
            </w:r>
          </w:p>
        </w:tc>
      </w:tr>
      <w:tr w:rsidR="00F47C30" w:rsidRPr="00F47C30" w14:paraId="13356C31" w14:textId="77777777" w:rsidTr="00461BEA">
        <w:tc>
          <w:tcPr>
            <w:tcW w:w="9016" w:type="dxa"/>
            <w:gridSpan w:val="2"/>
          </w:tcPr>
          <w:p w14:paraId="0885E1D5" w14:textId="77777777" w:rsidR="00F47C30" w:rsidRPr="00F47C30" w:rsidRDefault="00F47C30" w:rsidP="00F47C30">
            <w:pPr>
              <w:spacing w:line="276" w:lineRule="auto"/>
              <w:rPr>
                <w:sz w:val="22"/>
                <w:szCs w:val="22"/>
              </w:rPr>
            </w:pPr>
          </w:p>
        </w:tc>
      </w:tr>
      <w:tr w:rsidR="00F47C30" w:rsidRPr="00F47C30" w14:paraId="2E786B15" w14:textId="77777777" w:rsidTr="00F47C30">
        <w:tc>
          <w:tcPr>
            <w:tcW w:w="3823" w:type="dxa"/>
          </w:tcPr>
          <w:p w14:paraId="0384560B" w14:textId="77777777" w:rsidR="00F47C30" w:rsidRPr="00F47C30" w:rsidRDefault="00F47C30" w:rsidP="00F47C30">
            <w:pPr>
              <w:spacing w:line="276" w:lineRule="auto"/>
              <w:rPr>
                <w:b/>
                <w:bCs/>
                <w:sz w:val="22"/>
                <w:szCs w:val="22"/>
              </w:rPr>
            </w:pPr>
            <w:r w:rsidRPr="00F47C30">
              <w:rPr>
                <w:b/>
                <w:bCs/>
                <w:sz w:val="22"/>
                <w:szCs w:val="22"/>
              </w:rPr>
              <w:t>Extenuating Circumstances Sub-Boards</w:t>
            </w:r>
          </w:p>
        </w:tc>
        <w:tc>
          <w:tcPr>
            <w:tcW w:w="5193" w:type="dxa"/>
          </w:tcPr>
          <w:p w14:paraId="06E586FE" w14:textId="7EA460F2" w:rsidR="00F47C30" w:rsidRPr="00F47C30" w:rsidRDefault="00F47C30" w:rsidP="00F47C30">
            <w:pPr>
              <w:spacing w:line="276" w:lineRule="auto"/>
              <w:rPr>
                <w:b/>
                <w:bCs/>
                <w:sz w:val="22"/>
                <w:szCs w:val="22"/>
              </w:rPr>
            </w:pPr>
            <w:r w:rsidRPr="00F47C30">
              <w:rPr>
                <w:b/>
                <w:bCs/>
                <w:sz w:val="22"/>
                <w:szCs w:val="22"/>
              </w:rPr>
              <w:t>Faculty Board’s Review and Evaluation</w:t>
            </w:r>
          </w:p>
        </w:tc>
      </w:tr>
      <w:tr w:rsidR="00F47C30" w:rsidRPr="00F47C30" w14:paraId="6B8F77DA" w14:textId="77777777" w:rsidTr="00F47C30">
        <w:tc>
          <w:tcPr>
            <w:tcW w:w="3823" w:type="dxa"/>
          </w:tcPr>
          <w:p w14:paraId="5CB0CFEE" w14:textId="77777777" w:rsidR="00F47C30" w:rsidRPr="00F47C30" w:rsidRDefault="00F47C30" w:rsidP="00F47C30">
            <w:pPr>
              <w:spacing w:line="276" w:lineRule="auto"/>
              <w:rPr>
                <w:sz w:val="22"/>
                <w:szCs w:val="22"/>
              </w:rPr>
            </w:pPr>
            <w:r w:rsidRPr="00F47C30">
              <w:rPr>
                <w:sz w:val="22"/>
                <w:szCs w:val="22"/>
              </w:rPr>
              <w:t>Points of consideration for the Faculty Board:</w:t>
            </w:r>
          </w:p>
          <w:p w14:paraId="0625CC5C" w14:textId="77777777" w:rsidR="00F47C30" w:rsidRPr="00F47C30" w:rsidRDefault="00F47C30" w:rsidP="00F47C30">
            <w:pPr>
              <w:numPr>
                <w:ilvl w:val="0"/>
                <w:numId w:val="1"/>
              </w:numPr>
              <w:spacing w:line="276" w:lineRule="auto"/>
              <w:rPr>
                <w:sz w:val="22"/>
                <w:szCs w:val="22"/>
              </w:rPr>
            </w:pPr>
            <w:r w:rsidRPr="00F47C30">
              <w:rPr>
                <w:sz w:val="22"/>
                <w:szCs w:val="22"/>
              </w:rPr>
              <w:t>Volume and patterns of submissions.</w:t>
            </w:r>
          </w:p>
          <w:p w14:paraId="731D924D" w14:textId="77777777" w:rsidR="00F47C30" w:rsidRPr="00F47C30" w:rsidRDefault="00F47C30" w:rsidP="00F47C30">
            <w:pPr>
              <w:numPr>
                <w:ilvl w:val="0"/>
                <w:numId w:val="1"/>
              </w:numPr>
              <w:spacing w:line="276" w:lineRule="auto"/>
              <w:rPr>
                <w:sz w:val="22"/>
                <w:szCs w:val="22"/>
              </w:rPr>
            </w:pPr>
            <w:r w:rsidRPr="00F47C30">
              <w:rPr>
                <w:sz w:val="22"/>
                <w:szCs w:val="22"/>
              </w:rPr>
              <w:t>Pattern of meetings across the year to date.</w:t>
            </w:r>
          </w:p>
          <w:p w14:paraId="50828C9B" w14:textId="77777777" w:rsidR="00F47C30" w:rsidRPr="00F47C30" w:rsidRDefault="00F47C30" w:rsidP="00F47C30">
            <w:pPr>
              <w:numPr>
                <w:ilvl w:val="0"/>
                <w:numId w:val="1"/>
              </w:numPr>
              <w:spacing w:line="276" w:lineRule="auto"/>
              <w:rPr>
                <w:sz w:val="22"/>
                <w:szCs w:val="22"/>
              </w:rPr>
            </w:pPr>
            <w:r w:rsidRPr="00F47C30">
              <w:rPr>
                <w:sz w:val="22"/>
                <w:szCs w:val="22"/>
              </w:rPr>
              <w:t>Meetings and operation of Sub-Boards in line with policy.</w:t>
            </w:r>
          </w:p>
          <w:p w14:paraId="3B59013B" w14:textId="77777777" w:rsidR="00F47C30" w:rsidRPr="00F47C30" w:rsidRDefault="00F47C30" w:rsidP="00F47C30">
            <w:pPr>
              <w:numPr>
                <w:ilvl w:val="0"/>
                <w:numId w:val="1"/>
              </w:numPr>
              <w:spacing w:line="276" w:lineRule="auto"/>
              <w:rPr>
                <w:sz w:val="22"/>
                <w:szCs w:val="22"/>
              </w:rPr>
            </w:pPr>
            <w:r w:rsidRPr="00F47C30">
              <w:rPr>
                <w:sz w:val="22"/>
                <w:szCs w:val="22"/>
              </w:rPr>
              <w:t>Robustness and consistency of decisions.</w:t>
            </w:r>
          </w:p>
          <w:p w14:paraId="609115FD" w14:textId="77777777" w:rsidR="00F47C30" w:rsidRPr="00F47C30" w:rsidRDefault="00F47C30" w:rsidP="00F47C30">
            <w:pPr>
              <w:numPr>
                <w:ilvl w:val="0"/>
                <w:numId w:val="1"/>
              </w:numPr>
              <w:spacing w:line="276" w:lineRule="auto"/>
              <w:rPr>
                <w:sz w:val="22"/>
                <w:szCs w:val="22"/>
              </w:rPr>
            </w:pPr>
            <w:r w:rsidRPr="00F47C30">
              <w:rPr>
                <w:sz w:val="22"/>
                <w:szCs w:val="22"/>
              </w:rPr>
              <w:t>Overall alignment with policy and timelines.</w:t>
            </w:r>
          </w:p>
          <w:p w14:paraId="390577C8" w14:textId="77777777" w:rsidR="00F47C30" w:rsidRPr="00F47C30" w:rsidRDefault="00F47C30" w:rsidP="00F47C30">
            <w:pPr>
              <w:numPr>
                <w:ilvl w:val="0"/>
                <w:numId w:val="1"/>
              </w:numPr>
              <w:spacing w:line="276" w:lineRule="auto"/>
              <w:rPr>
                <w:sz w:val="22"/>
                <w:szCs w:val="22"/>
              </w:rPr>
            </w:pPr>
            <w:r w:rsidRPr="00F47C30">
              <w:rPr>
                <w:sz w:val="22"/>
                <w:szCs w:val="22"/>
              </w:rPr>
              <w:t>Any anomalies or concerns, and any good practice.</w:t>
            </w:r>
          </w:p>
        </w:tc>
        <w:tc>
          <w:tcPr>
            <w:tcW w:w="5193" w:type="dxa"/>
          </w:tcPr>
          <w:p w14:paraId="21D10A93" w14:textId="77777777" w:rsidR="00F47C30" w:rsidRPr="00F47C30" w:rsidRDefault="00F47C30" w:rsidP="00F47C30">
            <w:pPr>
              <w:spacing w:line="276" w:lineRule="auto"/>
              <w:rPr>
                <w:sz w:val="22"/>
                <w:szCs w:val="22"/>
              </w:rPr>
            </w:pPr>
          </w:p>
        </w:tc>
      </w:tr>
      <w:tr w:rsidR="00F47C30" w:rsidRPr="00F47C30" w14:paraId="64DA7F52" w14:textId="77777777" w:rsidTr="00461BEA">
        <w:tc>
          <w:tcPr>
            <w:tcW w:w="9016" w:type="dxa"/>
            <w:gridSpan w:val="2"/>
          </w:tcPr>
          <w:p w14:paraId="79F5C6DA" w14:textId="77777777" w:rsidR="00F47C30" w:rsidRPr="00F47C30" w:rsidRDefault="00F47C30" w:rsidP="00F47C30">
            <w:pPr>
              <w:spacing w:line="276" w:lineRule="auto"/>
              <w:rPr>
                <w:b/>
                <w:bCs/>
                <w:sz w:val="22"/>
                <w:szCs w:val="22"/>
              </w:rPr>
            </w:pPr>
          </w:p>
        </w:tc>
      </w:tr>
      <w:tr w:rsidR="00F47C30" w:rsidRPr="00F47C30" w14:paraId="3FE54DEC" w14:textId="77777777" w:rsidTr="00F47C30">
        <w:tc>
          <w:tcPr>
            <w:tcW w:w="3823" w:type="dxa"/>
          </w:tcPr>
          <w:p w14:paraId="2D535CCF" w14:textId="77777777" w:rsidR="00F47C30" w:rsidRPr="00F47C30" w:rsidRDefault="00F47C30" w:rsidP="00F47C30">
            <w:pPr>
              <w:spacing w:line="276" w:lineRule="auto"/>
              <w:rPr>
                <w:b/>
                <w:bCs/>
                <w:sz w:val="22"/>
                <w:szCs w:val="22"/>
              </w:rPr>
            </w:pPr>
            <w:r w:rsidRPr="00F47C30">
              <w:rPr>
                <w:b/>
                <w:bCs/>
                <w:sz w:val="22"/>
                <w:szCs w:val="22"/>
              </w:rPr>
              <w:t>Module Boards</w:t>
            </w:r>
          </w:p>
        </w:tc>
        <w:tc>
          <w:tcPr>
            <w:tcW w:w="5193" w:type="dxa"/>
          </w:tcPr>
          <w:p w14:paraId="721C39E0" w14:textId="77777777" w:rsidR="00F47C30" w:rsidRPr="00F47C30" w:rsidRDefault="00F47C30" w:rsidP="00F47C30">
            <w:pPr>
              <w:spacing w:line="276" w:lineRule="auto"/>
              <w:rPr>
                <w:sz w:val="22"/>
                <w:szCs w:val="22"/>
              </w:rPr>
            </w:pPr>
            <w:r w:rsidRPr="00F47C30">
              <w:rPr>
                <w:b/>
                <w:bCs/>
                <w:sz w:val="22"/>
                <w:szCs w:val="22"/>
              </w:rPr>
              <w:t>Faculty Board’s Review and Evaluation</w:t>
            </w:r>
          </w:p>
        </w:tc>
      </w:tr>
      <w:tr w:rsidR="00F47C30" w:rsidRPr="00F47C30" w14:paraId="7FF1DEE5" w14:textId="77777777" w:rsidTr="00F47C30">
        <w:tc>
          <w:tcPr>
            <w:tcW w:w="3823" w:type="dxa"/>
          </w:tcPr>
          <w:p w14:paraId="5AEB20D6" w14:textId="77777777" w:rsidR="00F47C30" w:rsidRPr="00F47C30" w:rsidRDefault="00F47C30" w:rsidP="00F47C30">
            <w:pPr>
              <w:spacing w:line="276" w:lineRule="auto"/>
              <w:rPr>
                <w:sz w:val="22"/>
                <w:szCs w:val="22"/>
              </w:rPr>
            </w:pPr>
            <w:r w:rsidRPr="00F47C30">
              <w:rPr>
                <w:sz w:val="22"/>
                <w:szCs w:val="22"/>
              </w:rPr>
              <w:t>Points of consideration for the Faculty Board:</w:t>
            </w:r>
          </w:p>
          <w:p w14:paraId="0957A43C" w14:textId="77777777" w:rsidR="00F47C30" w:rsidRPr="00F47C30" w:rsidRDefault="00F47C30" w:rsidP="00F47C30">
            <w:pPr>
              <w:numPr>
                <w:ilvl w:val="0"/>
                <w:numId w:val="2"/>
              </w:numPr>
              <w:spacing w:line="276" w:lineRule="auto"/>
              <w:rPr>
                <w:sz w:val="22"/>
                <w:szCs w:val="22"/>
              </w:rPr>
            </w:pPr>
            <w:r w:rsidRPr="00F47C30">
              <w:rPr>
                <w:sz w:val="22"/>
                <w:szCs w:val="22"/>
              </w:rPr>
              <w:t>Meetings and operation of Boards in line with policy.</w:t>
            </w:r>
          </w:p>
          <w:p w14:paraId="02445A42" w14:textId="77777777" w:rsidR="00F47C30" w:rsidRPr="00F47C30" w:rsidRDefault="00F47C30" w:rsidP="00F47C30">
            <w:pPr>
              <w:numPr>
                <w:ilvl w:val="0"/>
                <w:numId w:val="2"/>
              </w:numPr>
              <w:spacing w:line="276" w:lineRule="auto"/>
              <w:rPr>
                <w:sz w:val="22"/>
                <w:szCs w:val="22"/>
              </w:rPr>
            </w:pPr>
            <w:r w:rsidRPr="00F47C30">
              <w:rPr>
                <w:sz w:val="22"/>
                <w:szCs w:val="22"/>
              </w:rPr>
              <w:t>Robustness of staff attendance, participation and preparedness in line with roles and responsibilities and adherence to conduct expectations.</w:t>
            </w:r>
          </w:p>
          <w:p w14:paraId="13473BE5" w14:textId="77777777" w:rsidR="00F47C30" w:rsidRPr="00F47C30" w:rsidRDefault="00F47C30" w:rsidP="00F47C30">
            <w:pPr>
              <w:numPr>
                <w:ilvl w:val="0"/>
                <w:numId w:val="2"/>
              </w:numPr>
              <w:spacing w:line="276" w:lineRule="auto"/>
              <w:rPr>
                <w:sz w:val="22"/>
                <w:szCs w:val="22"/>
              </w:rPr>
            </w:pPr>
            <w:r w:rsidRPr="00F47C30">
              <w:rPr>
                <w:sz w:val="22"/>
                <w:szCs w:val="22"/>
              </w:rPr>
              <w:t>Use of moderation and adjustments.</w:t>
            </w:r>
          </w:p>
          <w:p w14:paraId="2ED17039" w14:textId="77777777" w:rsidR="00F47C30" w:rsidRPr="00F47C30" w:rsidRDefault="00F47C30" w:rsidP="00F47C30">
            <w:pPr>
              <w:numPr>
                <w:ilvl w:val="0"/>
                <w:numId w:val="2"/>
              </w:numPr>
              <w:spacing w:line="276" w:lineRule="auto"/>
              <w:rPr>
                <w:sz w:val="22"/>
                <w:szCs w:val="22"/>
              </w:rPr>
            </w:pPr>
            <w:r w:rsidRPr="00F47C30">
              <w:rPr>
                <w:sz w:val="22"/>
                <w:szCs w:val="22"/>
              </w:rPr>
              <w:t>Handling of late marks.</w:t>
            </w:r>
          </w:p>
          <w:p w14:paraId="33CB15BF" w14:textId="77777777" w:rsidR="00F47C30" w:rsidRPr="00F47C30" w:rsidRDefault="00F47C30" w:rsidP="00F47C30">
            <w:pPr>
              <w:numPr>
                <w:ilvl w:val="0"/>
                <w:numId w:val="2"/>
              </w:numPr>
              <w:spacing w:line="276" w:lineRule="auto"/>
              <w:rPr>
                <w:sz w:val="22"/>
                <w:szCs w:val="22"/>
              </w:rPr>
            </w:pPr>
            <w:r w:rsidRPr="00F47C30">
              <w:rPr>
                <w:sz w:val="22"/>
                <w:szCs w:val="22"/>
              </w:rPr>
              <w:t>Robustness of decision making.</w:t>
            </w:r>
          </w:p>
          <w:p w14:paraId="110E0E77" w14:textId="77777777" w:rsidR="00F47C30" w:rsidRPr="00F47C30" w:rsidRDefault="00F47C30" w:rsidP="00F47C30">
            <w:pPr>
              <w:numPr>
                <w:ilvl w:val="0"/>
                <w:numId w:val="2"/>
              </w:numPr>
              <w:spacing w:line="276" w:lineRule="auto"/>
              <w:rPr>
                <w:sz w:val="22"/>
                <w:szCs w:val="22"/>
              </w:rPr>
            </w:pPr>
            <w:r w:rsidRPr="00F47C30">
              <w:rPr>
                <w:sz w:val="22"/>
                <w:szCs w:val="22"/>
              </w:rPr>
              <w:t>Consistency across divisions/programmes.</w:t>
            </w:r>
          </w:p>
          <w:p w14:paraId="634DA90B" w14:textId="66174CF2" w:rsidR="00F47C30" w:rsidRPr="00F47C30" w:rsidRDefault="00F47C30" w:rsidP="00F47C30">
            <w:pPr>
              <w:numPr>
                <w:ilvl w:val="0"/>
                <w:numId w:val="2"/>
              </w:numPr>
              <w:spacing w:line="276" w:lineRule="auto"/>
              <w:rPr>
                <w:sz w:val="22"/>
                <w:szCs w:val="22"/>
              </w:rPr>
            </w:pPr>
            <w:r w:rsidRPr="00F47C30">
              <w:rPr>
                <w:sz w:val="22"/>
                <w:szCs w:val="22"/>
              </w:rPr>
              <w:t xml:space="preserve">External Examiner </w:t>
            </w:r>
            <w:r>
              <w:rPr>
                <w:sz w:val="22"/>
                <w:szCs w:val="22"/>
              </w:rPr>
              <w:t>views</w:t>
            </w:r>
            <w:r w:rsidRPr="00F47C30">
              <w:rPr>
                <w:sz w:val="22"/>
                <w:szCs w:val="22"/>
              </w:rPr>
              <w:t>.</w:t>
            </w:r>
          </w:p>
        </w:tc>
        <w:tc>
          <w:tcPr>
            <w:tcW w:w="5193" w:type="dxa"/>
          </w:tcPr>
          <w:p w14:paraId="355B0594" w14:textId="77777777" w:rsidR="00F47C30" w:rsidRPr="00F47C30" w:rsidRDefault="00F47C30" w:rsidP="00F47C30">
            <w:pPr>
              <w:spacing w:line="276" w:lineRule="auto"/>
              <w:rPr>
                <w:sz w:val="22"/>
                <w:szCs w:val="22"/>
              </w:rPr>
            </w:pPr>
          </w:p>
        </w:tc>
      </w:tr>
      <w:tr w:rsidR="00F47C30" w:rsidRPr="00F47C30" w14:paraId="2961CC8A" w14:textId="77777777" w:rsidTr="00461BEA">
        <w:tc>
          <w:tcPr>
            <w:tcW w:w="9016" w:type="dxa"/>
            <w:gridSpan w:val="2"/>
          </w:tcPr>
          <w:p w14:paraId="7D00F91D" w14:textId="77777777" w:rsidR="00F47C30" w:rsidRPr="00F47C30" w:rsidRDefault="00F47C30" w:rsidP="00F47C30">
            <w:pPr>
              <w:spacing w:line="276" w:lineRule="auto"/>
              <w:rPr>
                <w:sz w:val="22"/>
                <w:szCs w:val="22"/>
              </w:rPr>
            </w:pPr>
          </w:p>
        </w:tc>
      </w:tr>
    </w:tbl>
    <w:p w14:paraId="562BCD7B" w14:textId="77777777" w:rsidR="00F47C30" w:rsidRDefault="00F47C30">
      <w:r>
        <w:br w:type="page"/>
      </w:r>
    </w:p>
    <w:tbl>
      <w:tblPr>
        <w:tblStyle w:val="TableGrid"/>
        <w:tblW w:w="0" w:type="auto"/>
        <w:tblLook w:val="04A0" w:firstRow="1" w:lastRow="0" w:firstColumn="1" w:lastColumn="0" w:noHBand="0" w:noVBand="1"/>
      </w:tblPr>
      <w:tblGrid>
        <w:gridCol w:w="3823"/>
        <w:gridCol w:w="5193"/>
      </w:tblGrid>
      <w:tr w:rsidR="00F47C30" w:rsidRPr="00F47C30" w14:paraId="361A4EF0" w14:textId="77777777" w:rsidTr="00F47C30">
        <w:tc>
          <w:tcPr>
            <w:tcW w:w="3823" w:type="dxa"/>
          </w:tcPr>
          <w:p w14:paraId="27F09F7A" w14:textId="26EFBCD4" w:rsidR="00F47C30" w:rsidRPr="00F47C30" w:rsidRDefault="00F47C30" w:rsidP="00F47C30">
            <w:pPr>
              <w:spacing w:line="276" w:lineRule="auto"/>
              <w:rPr>
                <w:b/>
                <w:bCs/>
                <w:sz w:val="22"/>
                <w:szCs w:val="22"/>
              </w:rPr>
            </w:pPr>
            <w:r w:rsidRPr="00F47C30">
              <w:rPr>
                <w:b/>
                <w:bCs/>
                <w:sz w:val="22"/>
                <w:szCs w:val="22"/>
              </w:rPr>
              <w:lastRenderedPageBreak/>
              <w:t>Progression Boards</w:t>
            </w:r>
          </w:p>
        </w:tc>
        <w:tc>
          <w:tcPr>
            <w:tcW w:w="5193" w:type="dxa"/>
          </w:tcPr>
          <w:p w14:paraId="5522E0E3" w14:textId="77777777" w:rsidR="00F47C30" w:rsidRPr="00F47C30" w:rsidRDefault="00F47C30" w:rsidP="00F47C30">
            <w:pPr>
              <w:spacing w:line="276" w:lineRule="auto"/>
              <w:rPr>
                <w:sz w:val="22"/>
                <w:szCs w:val="22"/>
              </w:rPr>
            </w:pPr>
            <w:r w:rsidRPr="00F47C30">
              <w:rPr>
                <w:b/>
                <w:bCs/>
                <w:sz w:val="22"/>
                <w:szCs w:val="22"/>
              </w:rPr>
              <w:t>Faculty Board’s Review and Evaluation</w:t>
            </w:r>
          </w:p>
        </w:tc>
      </w:tr>
      <w:tr w:rsidR="00F47C30" w:rsidRPr="00F47C30" w14:paraId="35621231" w14:textId="77777777" w:rsidTr="00F47C30">
        <w:tc>
          <w:tcPr>
            <w:tcW w:w="3823" w:type="dxa"/>
          </w:tcPr>
          <w:p w14:paraId="2A532B4D" w14:textId="77777777" w:rsidR="00F47C30" w:rsidRPr="00F47C30" w:rsidRDefault="00F47C30" w:rsidP="00F47C30">
            <w:pPr>
              <w:spacing w:line="276" w:lineRule="auto"/>
              <w:rPr>
                <w:sz w:val="22"/>
                <w:szCs w:val="22"/>
              </w:rPr>
            </w:pPr>
            <w:r w:rsidRPr="00F47C30">
              <w:rPr>
                <w:sz w:val="22"/>
                <w:szCs w:val="22"/>
              </w:rPr>
              <w:t>Points of consideration for the Faculty Board:</w:t>
            </w:r>
          </w:p>
          <w:p w14:paraId="53B0E1D8" w14:textId="77777777" w:rsidR="00F47C30" w:rsidRPr="00F47C30" w:rsidRDefault="00F47C30" w:rsidP="00F47C30">
            <w:pPr>
              <w:numPr>
                <w:ilvl w:val="0"/>
                <w:numId w:val="3"/>
              </w:numPr>
              <w:spacing w:line="276" w:lineRule="auto"/>
              <w:rPr>
                <w:sz w:val="22"/>
                <w:szCs w:val="22"/>
              </w:rPr>
            </w:pPr>
            <w:r w:rsidRPr="00F47C30">
              <w:rPr>
                <w:sz w:val="22"/>
                <w:szCs w:val="22"/>
              </w:rPr>
              <w:t>Meetings and operation of Boards in line with policy.</w:t>
            </w:r>
          </w:p>
          <w:p w14:paraId="43D4F023" w14:textId="77777777" w:rsidR="00F47C30" w:rsidRPr="00F47C30" w:rsidRDefault="00F47C30" w:rsidP="00F47C30">
            <w:pPr>
              <w:numPr>
                <w:ilvl w:val="0"/>
                <w:numId w:val="3"/>
              </w:numPr>
              <w:spacing w:line="276" w:lineRule="auto"/>
              <w:rPr>
                <w:sz w:val="22"/>
                <w:szCs w:val="22"/>
              </w:rPr>
            </w:pPr>
            <w:r w:rsidRPr="00F47C30">
              <w:rPr>
                <w:sz w:val="22"/>
                <w:szCs w:val="22"/>
              </w:rPr>
              <w:t>Robustness of staff attendance, participation and preparedness in line with roles and responsibilities and adherence to conduct expectations.</w:t>
            </w:r>
          </w:p>
          <w:p w14:paraId="5B0D524B" w14:textId="77777777" w:rsidR="00F47C30" w:rsidRPr="00F47C30" w:rsidRDefault="00F47C30" w:rsidP="00F47C30">
            <w:pPr>
              <w:numPr>
                <w:ilvl w:val="0"/>
                <w:numId w:val="3"/>
              </w:numPr>
              <w:spacing w:line="276" w:lineRule="auto"/>
              <w:rPr>
                <w:sz w:val="22"/>
                <w:szCs w:val="22"/>
              </w:rPr>
            </w:pPr>
            <w:r w:rsidRPr="00F47C30">
              <w:rPr>
                <w:sz w:val="22"/>
                <w:szCs w:val="22"/>
              </w:rPr>
              <w:t>Robustness of decision making.</w:t>
            </w:r>
          </w:p>
          <w:p w14:paraId="291AF072" w14:textId="77777777" w:rsidR="00F47C30" w:rsidRPr="00F47C30" w:rsidRDefault="00F47C30" w:rsidP="00F47C30">
            <w:pPr>
              <w:numPr>
                <w:ilvl w:val="0"/>
                <w:numId w:val="3"/>
              </w:numPr>
              <w:spacing w:line="276" w:lineRule="auto"/>
              <w:rPr>
                <w:sz w:val="22"/>
                <w:szCs w:val="22"/>
              </w:rPr>
            </w:pPr>
            <w:r w:rsidRPr="00F47C30">
              <w:rPr>
                <w:sz w:val="22"/>
                <w:szCs w:val="22"/>
              </w:rPr>
              <w:t>Robustness of use of any discretion</w:t>
            </w:r>
          </w:p>
          <w:p w14:paraId="09872028" w14:textId="77777777" w:rsidR="00F47C30" w:rsidRPr="00F47C30" w:rsidRDefault="00F47C30" w:rsidP="00F47C30">
            <w:pPr>
              <w:numPr>
                <w:ilvl w:val="0"/>
                <w:numId w:val="3"/>
              </w:numPr>
              <w:spacing w:line="276" w:lineRule="auto"/>
              <w:rPr>
                <w:sz w:val="22"/>
                <w:szCs w:val="22"/>
              </w:rPr>
            </w:pPr>
            <w:r w:rsidRPr="00F47C30">
              <w:rPr>
                <w:sz w:val="22"/>
                <w:szCs w:val="22"/>
              </w:rPr>
              <w:t>Patterns in failure / non-progression.</w:t>
            </w:r>
          </w:p>
          <w:p w14:paraId="1FE950BC" w14:textId="77777777" w:rsidR="00F47C30" w:rsidRPr="00F47C30" w:rsidRDefault="00F47C30" w:rsidP="00F47C30">
            <w:pPr>
              <w:numPr>
                <w:ilvl w:val="0"/>
                <w:numId w:val="3"/>
              </w:numPr>
              <w:spacing w:line="276" w:lineRule="auto"/>
              <w:rPr>
                <w:sz w:val="22"/>
                <w:szCs w:val="22"/>
              </w:rPr>
            </w:pPr>
            <w:r w:rsidRPr="00F47C30">
              <w:rPr>
                <w:sz w:val="22"/>
                <w:szCs w:val="22"/>
              </w:rPr>
              <w:t>Consistency of decision-making.</w:t>
            </w:r>
          </w:p>
          <w:p w14:paraId="54CB0A99" w14:textId="5F376270" w:rsidR="00F47C30" w:rsidRPr="00F47C30" w:rsidRDefault="00F47C30" w:rsidP="00F47C30">
            <w:pPr>
              <w:numPr>
                <w:ilvl w:val="0"/>
                <w:numId w:val="3"/>
              </w:numPr>
              <w:spacing w:line="276" w:lineRule="auto"/>
              <w:rPr>
                <w:sz w:val="22"/>
                <w:szCs w:val="22"/>
              </w:rPr>
            </w:pPr>
            <w:r w:rsidRPr="00F47C30">
              <w:rPr>
                <w:sz w:val="22"/>
                <w:szCs w:val="22"/>
              </w:rPr>
              <w:t>Any regulatory or policy risks identified</w:t>
            </w:r>
            <w:r>
              <w:rPr>
                <w:sz w:val="22"/>
                <w:szCs w:val="22"/>
              </w:rPr>
              <w:t>, any anomalies or concerns.</w:t>
            </w:r>
          </w:p>
        </w:tc>
        <w:tc>
          <w:tcPr>
            <w:tcW w:w="5193" w:type="dxa"/>
          </w:tcPr>
          <w:p w14:paraId="0C62624E" w14:textId="77777777" w:rsidR="00F47C30" w:rsidRPr="00F47C30" w:rsidRDefault="00F47C30" w:rsidP="00F47C30">
            <w:pPr>
              <w:spacing w:line="276" w:lineRule="auto"/>
              <w:rPr>
                <w:b/>
                <w:bCs/>
                <w:sz w:val="22"/>
                <w:szCs w:val="22"/>
              </w:rPr>
            </w:pPr>
          </w:p>
        </w:tc>
      </w:tr>
      <w:tr w:rsidR="00F47C30" w:rsidRPr="00F47C30" w14:paraId="2C9D9D76" w14:textId="77777777" w:rsidTr="00F47C30">
        <w:tc>
          <w:tcPr>
            <w:tcW w:w="3823" w:type="dxa"/>
          </w:tcPr>
          <w:p w14:paraId="1D9D4038" w14:textId="32674A8C" w:rsidR="00F47C30" w:rsidRPr="00F47C30" w:rsidRDefault="00F47C30" w:rsidP="00F47C30">
            <w:pPr>
              <w:spacing w:line="276" w:lineRule="auto"/>
              <w:rPr>
                <w:b/>
                <w:bCs/>
                <w:sz w:val="22"/>
                <w:szCs w:val="22"/>
              </w:rPr>
            </w:pPr>
            <w:r w:rsidRPr="00F47C30">
              <w:rPr>
                <w:b/>
                <w:bCs/>
                <w:sz w:val="22"/>
                <w:szCs w:val="22"/>
              </w:rPr>
              <w:t>Award Boards</w:t>
            </w:r>
          </w:p>
        </w:tc>
        <w:tc>
          <w:tcPr>
            <w:tcW w:w="5193" w:type="dxa"/>
          </w:tcPr>
          <w:p w14:paraId="34B55C2B" w14:textId="2F775D2C" w:rsidR="00F47C30" w:rsidRPr="00F47C30" w:rsidRDefault="00F47C30" w:rsidP="00F47C30">
            <w:pPr>
              <w:spacing w:line="276" w:lineRule="auto"/>
              <w:rPr>
                <w:b/>
                <w:bCs/>
                <w:sz w:val="22"/>
                <w:szCs w:val="22"/>
              </w:rPr>
            </w:pPr>
            <w:r w:rsidRPr="00F47C30">
              <w:rPr>
                <w:b/>
                <w:bCs/>
                <w:sz w:val="22"/>
                <w:szCs w:val="22"/>
              </w:rPr>
              <w:t>Faculty Board’s Review and Evaluation</w:t>
            </w:r>
          </w:p>
        </w:tc>
      </w:tr>
      <w:tr w:rsidR="00F47C30" w:rsidRPr="00F47C30" w14:paraId="70F4EAA0" w14:textId="77777777" w:rsidTr="00F47C30">
        <w:tc>
          <w:tcPr>
            <w:tcW w:w="3823" w:type="dxa"/>
          </w:tcPr>
          <w:p w14:paraId="207E7AA8" w14:textId="037F1480" w:rsidR="00F47C30" w:rsidRDefault="00F47C30" w:rsidP="00F47C30">
            <w:pPr>
              <w:spacing w:line="276" w:lineRule="auto"/>
              <w:rPr>
                <w:sz w:val="22"/>
                <w:szCs w:val="22"/>
              </w:rPr>
            </w:pPr>
            <w:r w:rsidRPr="00F47C30">
              <w:rPr>
                <w:sz w:val="22"/>
                <w:szCs w:val="22"/>
              </w:rPr>
              <w:t>Points of consideration for the Faculty Board:</w:t>
            </w:r>
          </w:p>
          <w:p w14:paraId="6ED433FE" w14:textId="77777777" w:rsidR="00F47C30" w:rsidRPr="00F47C30" w:rsidRDefault="00F47C30" w:rsidP="00F47C30">
            <w:pPr>
              <w:numPr>
                <w:ilvl w:val="0"/>
                <w:numId w:val="4"/>
              </w:numPr>
              <w:spacing w:line="276" w:lineRule="auto"/>
              <w:rPr>
                <w:sz w:val="22"/>
                <w:szCs w:val="22"/>
              </w:rPr>
            </w:pPr>
            <w:r w:rsidRPr="00F47C30">
              <w:rPr>
                <w:sz w:val="22"/>
                <w:szCs w:val="22"/>
              </w:rPr>
              <w:t>Meetings and operation of Boards in line with policy.</w:t>
            </w:r>
          </w:p>
          <w:p w14:paraId="5DDB7BE7" w14:textId="77777777" w:rsidR="00F47C30" w:rsidRPr="00F47C30" w:rsidRDefault="00F47C30" w:rsidP="00F47C30">
            <w:pPr>
              <w:numPr>
                <w:ilvl w:val="0"/>
                <w:numId w:val="4"/>
              </w:numPr>
              <w:spacing w:line="276" w:lineRule="auto"/>
              <w:rPr>
                <w:sz w:val="22"/>
                <w:szCs w:val="22"/>
              </w:rPr>
            </w:pPr>
            <w:r w:rsidRPr="00F47C30">
              <w:rPr>
                <w:sz w:val="22"/>
                <w:szCs w:val="22"/>
              </w:rPr>
              <w:t>Robustness of staff attendance, participation and preparedness in line with roles and responsibilities and adherence to conduct expectations.</w:t>
            </w:r>
          </w:p>
          <w:p w14:paraId="482D24A9" w14:textId="77777777" w:rsidR="00F47C30" w:rsidRPr="00F47C30" w:rsidRDefault="00F47C30" w:rsidP="00F47C30">
            <w:pPr>
              <w:numPr>
                <w:ilvl w:val="0"/>
                <w:numId w:val="4"/>
              </w:numPr>
              <w:spacing w:line="276" w:lineRule="auto"/>
              <w:rPr>
                <w:sz w:val="22"/>
                <w:szCs w:val="22"/>
              </w:rPr>
            </w:pPr>
            <w:r w:rsidRPr="00F47C30">
              <w:rPr>
                <w:sz w:val="22"/>
                <w:szCs w:val="22"/>
              </w:rPr>
              <w:t>Robustness of decision making.</w:t>
            </w:r>
          </w:p>
          <w:p w14:paraId="06E435C6" w14:textId="77777777" w:rsidR="00F47C30" w:rsidRPr="00F47C30" w:rsidRDefault="00F47C30" w:rsidP="00F47C30">
            <w:pPr>
              <w:numPr>
                <w:ilvl w:val="0"/>
                <w:numId w:val="4"/>
              </w:numPr>
              <w:spacing w:line="276" w:lineRule="auto"/>
              <w:rPr>
                <w:sz w:val="22"/>
                <w:szCs w:val="22"/>
              </w:rPr>
            </w:pPr>
            <w:r w:rsidRPr="00F47C30">
              <w:rPr>
                <w:sz w:val="22"/>
                <w:szCs w:val="22"/>
              </w:rPr>
              <w:t>Robustness of use of any discretion</w:t>
            </w:r>
          </w:p>
          <w:p w14:paraId="7BEFA041" w14:textId="77777777" w:rsidR="00F47C30" w:rsidRPr="00F47C30" w:rsidRDefault="00F47C30" w:rsidP="00F47C30">
            <w:pPr>
              <w:numPr>
                <w:ilvl w:val="0"/>
                <w:numId w:val="4"/>
              </w:numPr>
              <w:spacing w:line="276" w:lineRule="auto"/>
              <w:rPr>
                <w:sz w:val="22"/>
                <w:szCs w:val="22"/>
              </w:rPr>
            </w:pPr>
            <w:r w:rsidRPr="00F47C30">
              <w:rPr>
                <w:sz w:val="22"/>
                <w:szCs w:val="22"/>
              </w:rPr>
              <w:t>Patterns in failure / non-progression.</w:t>
            </w:r>
          </w:p>
          <w:p w14:paraId="32E3C7B6" w14:textId="77777777" w:rsidR="00F47C30" w:rsidRDefault="00F47C30" w:rsidP="00F47C30">
            <w:pPr>
              <w:numPr>
                <w:ilvl w:val="0"/>
                <w:numId w:val="4"/>
              </w:numPr>
              <w:spacing w:line="276" w:lineRule="auto"/>
              <w:rPr>
                <w:sz w:val="22"/>
                <w:szCs w:val="22"/>
              </w:rPr>
            </w:pPr>
            <w:r w:rsidRPr="00F47C30">
              <w:rPr>
                <w:sz w:val="22"/>
                <w:szCs w:val="22"/>
              </w:rPr>
              <w:t>Consistency of decision-making.</w:t>
            </w:r>
          </w:p>
          <w:p w14:paraId="2067BCF8" w14:textId="464AE354" w:rsidR="00F47C30" w:rsidRPr="00F47C30" w:rsidRDefault="00F47C30" w:rsidP="00F47C30">
            <w:pPr>
              <w:numPr>
                <w:ilvl w:val="0"/>
                <w:numId w:val="4"/>
              </w:numPr>
              <w:spacing w:line="276" w:lineRule="auto"/>
              <w:rPr>
                <w:sz w:val="22"/>
                <w:szCs w:val="22"/>
              </w:rPr>
            </w:pPr>
            <w:r>
              <w:rPr>
                <w:sz w:val="22"/>
                <w:szCs w:val="22"/>
              </w:rPr>
              <w:t>External Examiner views.</w:t>
            </w:r>
          </w:p>
          <w:p w14:paraId="0E60C310" w14:textId="6405CBE1" w:rsidR="00F47C30" w:rsidRPr="00F47C30" w:rsidRDefault="00F47C30" w:rsidP="00F47C30">
            <w:pPr>
              <w:numPr>
                <w:ilvl w:val="0"/>
                <w:numId w:val="4"/>
              </w:numPr>
              <w:spacing w:line="276" w:lineRule="auto"/>
              <w:rPr>
                <w:sz w:val="22"/>
                <w:szCs w:val="22"/>
              </w:rPr>
            </w:pPr>
            <w:r w:rsidRPr="00F47C30">
              <w:rPr>
                <w:sz w:val="22"/>
                <w:szCs w:val="22"/>
              </w:rPr>
              <w:t>Any regulatory or policy risks identified</w:t>
            </w:r>
            <w:r>
              <w:rPr>
                <w:sz w:val="22"/>
                <w:szCs w:val="22"/>
              </w:rPr>
              <w:t>, any anomalies or concerns.</w:t>
            </w:r>
          </w:p>
        </w:tc>
        <w:tc>
          <w:tcPr>
            <w:tcW w:w="5193" w:type="dxa"/>
          </w:tcPr>
          <w:p w14:paraId="63B9FB92" w14:textId="21FF43DD" w:rsidR="00F47C30" w:rsidRPr="00F47C30" w:rsidRDefault="00F47C30" w:rsidP="00F47C30">
            <w:pPr>
              <w:spacing w:line="276" w:lineRule="auto"/>
              <w:rPr>
                <w:sz w:val="22"/>
                <w:szCs w:val="22"/>
              </w:rPr>
            </w:pPr>
          </w:p>
        </w:tc>
      </w:tr>
    </w:tbl>
    <w:p w14:paraId="7ED9ED1D" w14:textId="77777777" w:rsidR="00F47C30" w:rsidRDefault="00F47C30" w:rsidP="00F47C30">
      <w:pPr>
        <w:spacing w:after="0" w:line="276" w:lineRule="auto"/>
        <w:rPr>
          <w:b/>
          <w:bCs/>
          <w:sz w:val="22"/>
          <w:szCs w:val="22"/>
        </w:rPr>
      </w:pPr>
    </w:p>
    <w:p w14:paraId="75A43930" w14:textId="77777777" w:rsidR="00F47C30" w:rsidRPr="00F47C30" w:rsidRDefault="00F47C30" w:rsidP="00F47C30">
      <w:pPr>
        <w:spacing w:after="0" w:line="276" w:lineRule="auto"/>
        <w:rPr>
          <w:b/>
          <w:bCs/>
          <w:sz w:val="22"/>
          <w:szCs w:val="22"/>
        </w:rPr>
      </w:pPr>
    </w:p>
    <w:tbl>
      <w:tblPr>
        <w:tblStyle w:val="TableGrid"/>
        <w:tblW w:w="0" w:type="auto"/>
        <w:tblLook w:val="04A0" w:firstRow="1" w:lastRow="0" w:firstColumn="1" w:lastColumn="0" w:noHBand="0" w:noVBand="1"/>
      </w:tblPr>
      <w:tblGrid>
        <w:gridCol w:w="4508"/>
        <w:gridCol w:w="4508"/>
      </w:tblGrid>
      <w:tr w:rsidR="00F47C30" w14:paraId="04673CBB" w14:textId="77777777" w:rsidTr="002E0EB5">
        <w:tc>
          <w:tcPr>
            <w:tcW w:w="9016" w:type="dxa"/>
            <w:gridSpan w:val="2"/>
          </w:tcPr>
          <w:p w14:paraId="2EBC2F16" w14:textId="75AD2EFB" w:rsidR="00F47C30" w:rsidRPr="00F47C30" w:rsidRDefault="00F47C30">
            <w:pPr>
              <w:rPr>
                <w:b/>
                <w:bCs/>
                <w:sz w:val="22"/>
                <w:szCs w:val="22"/>
              </w:rPr>
            </w:pPr>
            <w:r w:rsidRPr="00F47C30">
              <w:rPr>
                <w:b/>
                <w:bCs/>
                <w:sz w:val="22"/>
                <w:szCs w:val="22"/>
              </w:rPr>
              <w:t>Report Completed by:</w:t>
            </w:r>
          </w:p>
        </w:tc>
      </w:tr>
      <w:tr w:rsidR="00F47C30" w14:paraId="164326C8" w14:textId="77777777" w:rsidTr="00F47C30">
        <w:tc>
          <w:tcPr>
            <w:tcW w:w="4508" w:type="dxa"/>
          </w:tcPr>
          <w:p w14:paraId="07918E54" w14:textId="6A4B71ED" w:rsidR="00F47C30" w:rsidRPr="00F47C30" w:rsidRDefault="00F47C30">
            <w:pPr>
              <w:rPr>
                <w:b/>
                <w:bCs/>
                <w:sz w:val="22"/>
                <w:szCs w:val="22"/>
              </w:rPr>
            </w:pPr>
            <w:r w:rsidRPr="00F47C30">
              <w:rPr>
                <w:b/>
                <w:bCs/>
                <w:sz w:val="22"/>
                <w:szCs w:val="22"/>
              </w:rPr>
              <w:t>Name</w:t>
            </w:r>
          </w:p>
        </w:tc>
        <w:tc>
          <w:tcPr>
            <w:tcW w:w="4508" w:type="dxa"/>
          </w:tcPr>
          <w:p w14:paraId="0FA70A4F" w14:textId="2901F210" w:rsidR="00F47C30" w:rsidRPr="00F47C30" w:rsidRDefault="00F47C30">
            <w:pPr>
              <w:rPr>
                <w:b/>
                <w:bCs/>
                <w:sz w:val="22"/>
                <w:szCs w:val="22"/>
              </w:rPr>
            </w:pPr>
          </w:p>
        </w:tc>
      </w:tr>
      <w:tr w:rsidR="00F47C30" w14:paraId="404DF14C" w14:textId="77777777" w:rsidTr="00F47C30">
        <w:tc>
          <w:tcPr>
            <w:tcW w:w="4508" w:type="dxa"/>
          </w:tcPr>
          <w:p w14:paraId="1F6DE86D" w14:textId="5B12B8B7" w:rsidR="00F47C30" w:rsidRPr="00F47C30" w:rsidRDefault="00347C71">
            <w:pPr>
              <w:rPr>
                <w:b/>
                <w:bCs/>
                <w:sz w:val="22"/>
                <w:szCs w:val="22"/>
              </w:rPr>
            </w:pPr>
            <w:r>
              <w:rPr>
                <w:b/>
                <w:bCs/>
                <w:sz w:val="22"/>
                <w:szCs w:val="22"/>
              </w:rPr>
              <w:t>Designation</w:t>
            </w:r>
          </w:p>
        </w:tc>
        <w:tc>
          <w:tcPr>
            <w:tcW w:w="4508" w:type="dxa"/>
          </w:tcPr>
          <w:p w14:paraId="2E990B29" w14:textId="77777777" w:rsidR="00F47C30" w:rsidRPr="00F47C30" w:rsidRDefault="00F47C30">
            <w:pPr>
              <w:rPr>
                <w:b/>
                <w:bCs/>
                <w:sz w:val="22"/>
                <w:szCs w:val="22"/>
              </w:rPr>
            </w:pPr>
          </w:p>
        </w:tc>
      </w:tr>
      <w:tr w:rsidR="00347C71" w14:paraId="0BD17853" w14:textId="77777777" w:rsidTr="00F47C30">
        <w:tc>
          <w:tcPr>
            <w:tcW w:w="4508" w:type="dxa"/>
          </w:tcPr>
          <w:p w14:paraId="60BA449C" w14:textId="230C46B9" w:rsidR="00347C71" w:rsidRDefault="00347C71">
            <w:pPr>
              <w:rPr>
                <w:b/>
                <w:bCs/>
                <w:sz w:val="22"/>
                <w:szCs w:val="22"/>
              </w:rPr>
            </w:pPr>
            <w:r w:rsidRPr="00F47C30">
              <w:rPr>
                <w:b/>
                <w:bCs/>
                <w:sz w:val="22"/>
                <w:szCs w:val="22"/>
              </w:rPr>
              <w:t>Date of Completion</w:t>
            </w:r>
          </w:p>
        </w:tc>
        <w:tc>
          <w:tcPr>
            <w:tcW w:w="4508" w:type="dxa"/>
          </w:tcPr>
          <w:p w14:paraId="64E6F853" w14:textId="77777777" w:rsidR="00347C71" w:rsidRPr="00F47C30" w:rsidRDefault="00347C71">
            <w:pPr>
              <w:rPr>
                <w:b/>
                <w:bCs/>
                <w:sz w:val="22"/>
                <w:szCs w:val="22"/>
              </w:rPr>
            </w:pPr>
          </w:p>
        </w:tc>
      </w:tr>
    </w:tbl>
    <w:p w14:paraId="705DAA6C" w14:textId="77777777" w:rsidR="00F47C30" w:rsidRDefault="00F47C30">
      <w:pPr>
        <w:rPr>
          <w:b/>
          <w:bCs/>
        </w:rPr>
      </w:pPr>
      <w:r>
        <w:rPr>
          <w:b/>
          <w:bCs/>
        </w:rPr>
        <w:br w:type="page"/>
      </w:r>
    </w:p>
    <w:p w14:paraId="186B49B0" w14:textId="3323681B" w:rsidR="00F47C30" w:rsidRDefault="00F47C30" w:rsidP="001D310E">
      <w:pPr>
        <w:spacing w:after="0" w:line="276" w:lineRule="auto"/>
        <w:rPr>
          <w:b/>
          <w:bCs/>
        </w:rPr>
      </w:pPr>
      <w:r w:rsidRPr="00F47C30">
        <w:rPr>
          <w:b/>
          <w:bCs/>
        </w:rPr>
        <w:lastRenderedPageBreak/>
        <w:t>Stage 2 Report</w:t>
      </w:r>
    </w:p>
    <w:p w14:paraId="5EEA16AA" w14:textId="77777777" w:rsidR="00184355" w:rsidRDefault="00184355" w:rsidP="001D310E">
      <w:pPr>
        <w:spacing w:after="0" w:line="276" w:lineRule="auto"/>
        <w:rPr>
          <w:b/>
          <w:bCs/>
        </w:rPr>
      </w:pPr>
    </w:p>
    <w:tbl>
      <w:tblPr>
        <w:tblStyle w:val="TableGrid"/>
        <w:tblW w:w="0" w:type="auto"/>
        <w:tblLook w:val="04A0" w:firstRow="1" w:lastRow="0" w:firstColumn="1" w:lastColumn="0" w:noHBand="0" w:noVBand="1"/>
      </w:tblPr>
      <w:tblGrid>
        <w:gridCol w:w="4508"/>
        <w:gridCol w:w="4508"/>
      </w:tblGrid>
      <w:tr w:rsidR="00F47C30" w14:paraId="44878369" w14:textId="77777777" w:rsidTr="00F47C30">
        <w:tc>
          <w:tcPr>
            <w:tcW w:w="4508" w:type="dxa"/>
          </w:tcPr>
          <w:p w14:paraId="7080761F" w14:textId="18994BA3" w:rsidR="00F47C30" w:rsidRPr="00F47C30" w:rsidRDefault="00F47C30" w:rsidP="001D310E">
            <w:pPr>
              <w:spacing w:line="276" w:lineRule="auto"/>
              <w:rPr>
                <w:b/>
                <w:bCs/>
                <w:sz w:val="22"/>
                <w:szCs w:val="22"/>
              </w:rPr>
            </w:pPr>
            <w:r w:rsidRPr="00F47C30">
              <w:rPr>
                <w:b/>
                <w:bCs/>
                <w:sz w:val="22"/>
                <w:szCs w:val="22"/>
              </w:rPr>
              <w:t>Point of Consideration for Faculty Board</w:t>
            </w:r>
          </w:p>
        </w:tc>
        <w:tc>
          <w:tcPr>
            <w:tcW w:w="4508" w:type="dxa"/>
          </w:tcPr>
          <w:p w14:paraId="0B408052" w14:textId="1462BEC5" w:rsidR="00F47C30" w:rsidRPr="00F47C30" w:rsidRDefault="00F47C30" w:rsidP="001D310E">
            <w:pPr>
              <w:spacing w:line="276" w:lineRule="auto"/>
              <w:rPr>
                <w:b/>
                <w:bCs/>
                <w:sz w:val="22"/>
                <w:szCs w:val="22"/>
              </w:rPr>
            </w:pPr>
            <w:r w:rsidRPr="00F47C30">
              <w:rPr>
                <w:b/>
                <w:bCs/>
                <w:sz w:val="22"/>
                <w:szCs w:val="22"/>
              </w:rPr>
              <w:t>Faculty Board’s Review and Evaluation</w:t>
            </w:r>
          </w:p>
        </w:tc>
      </w:tr>
      <w:tr w:rsidR="00F47C30" w14:paraId="042D7E8F" w14:textId="77777777" w:rsidTr="00F47C30">
        <w:tc>
          <w:tcPr>
            <w:tcW w:w="4508" w:type="dxa"/>
          </w:tcPr>
          <w:p w14:paraId="1DC920C6" w14:textId="3CF122FB" w:rsidR="00F47C30" w:rsidRPr="00F47C30" w:rsidRDefault="00F47C30" w:rsidP="001D310E">
            <w:pPr>
              <w:spacing w:line="276" w:lineRule="auto"/>
              <w:rPr>
                <w:sz w:val="22"/>
                <w:szCs w:val="22"/>
              </w:rPr>
            </w:pPr>
            <w:r w:rsidRPr="00F47C30">
              <w:rPr>
                <w:sz w:val="22"/>
                <w:szCs w:val="22"/>
              </w:rPr>
              <w:t xml:space="preserve">Adherence to Boards of Examiners Policy across the year </w:t>
            </w:r>
          </w:p>
        </w:tc>
        <w:tc>
          <w:tcPr>
            <w:tcW w:w="4508" w:type="dxa"/>
          </w:tcPr>
          <w:p w14:paraId="47FB064C" w14:textId="77777777" w:rsidR="00F47C30" w:rsidRPr="00F47C30" w:rsidRDefault="00F47C30" w:rsidP="001D310E">
            <w:pPr>
              <w:spacing w:line="276" w:lineRule="auto"/>
              <w:rPr>
                <w:sz w:val="22"/>
                <w:szCs w:val="22"/>
              </w:rPr>
            </w:pPr>
          </w:p>
        </w:tc>
      </w:tr>
      <w:tr w:rsidR="00F47C30" w14:paraId="23CF108E" w14:textId="77777777" w:rsidTr="00F47C30">
        <w:tc>
          <w:tcPr>
            <w:tcW w:w="4508" w:type="dxa"/>
          </w:tcPr>
          <w:p w14:paraId="605CEB78" w14:textId="5F482193" w:rsidR="00F47C30" w:rsidRPr="00F47C30" w:rsidRDefault="009236D8" w:rsidP="001D310E">
            <w:pPr>
              <w:spacing w:line="276" w:lineRule="auto"/>
              <w:rPr>
                <w:sz w:val="22"/>
                <w:szCs w:val="22"/>
              </w:rPr>
            </w:pPr>
            <w:r>
              <w:rPr>
                <w:sz w:val="22"/>
                <w:szCs w:val="22"/>
              </w:rPr>
              <w:t xml:space="preserve">Robustness of the application of </w:t>
            </w:r>
            <w:proofErr w:type="gramStart"/>
            <w:r>
              <w:rPr>
                <w:sz w:val="22"/>
                <w:szCs w:val="22"/>
              </w:rPr>
              <w:t>University</w:t>
            </w:r>
            <w:proofErr w:type="gramEnd"/>
            <w:r>
              <w:rPr>
                <w:sz w:val="22"/>
                <w:szCs w:val="22"/>
              </w:rPr>
              <w:t xml:space="preserve"> regulation and policy across Boards of Examiners</w:t>
            </w:r>
          </w:p>
        </w:tc>
        <w:tc>
          <w:tcPr>
            <w:tcW w:w="4508" w:type="dxa"/>
          </w:tcPr>
          <w:p w14:paraId="67C24B49" w14:textId="77777777" w:rsidR="00F47C30" w:rsidRPr="00F47C30" w:rsidRDefault="00F47C30" w:rsidP="001D310E">
            <w:pPr>
              <w:spacing w:line="276" w:lineRule="auto"/>
              <w:rPr>
                <w:sz w:val="22"/>
                <w:szCs w:val="22"/>
              </w:rPr>
            </w:pPr>
          </w:p>
        </w:tc>
      </w:tr>
      <w:tr w:rsidR="00F47C30" w14:paraId="0BFA5DDE" w14:textId="77777777" w:rsidTr="00F47C30">
        <w:tc>
          <w:tcPr>
            <w:tcW w:w="4508" w:type="dxa"/>
          </w:tcPr>
          <w:p w14:paraId="59BAD3AD" w14:textId="61D108C9" w:rsidR="00F47C30" w:rsidRPr="00F47C30" w:rsidRDefault="009236D8" w:rsidP="001D310E">
            <w:pPr>
              <w:spacing w:line="276" w:lineRule="auto"/>
              <w:rPr>
                <w:sz w:val="22"/>
                <w:szCs w:val="22"/>
              </w:rPr>
            </w:pPr>
            <w:r>
              <w:rPr>
                <w:sz w:val="22"/>
                <w:szCs w:val="22"/>
              </w:rPr>
              <w:t>Themes and issues from External Examiner comments across the year</w:t>
            </w:r>
          </w:p>
        </w:tc>
        <w:tc>
          <w:tcPr>
            <w:tcW w:w="4508" w:type="dxa"/>
          </w:tcPr>
          <w:p w14:paraId="6F57879C" w14:textId="77777777" w:rsidR="00F47C30" w:rsidRPr="00F47C30" w:rsidRDefault="00F47C30" w:rsidP="001D310E">
            <w:pPr>
              <w:spacing w:line="276" w:lineRule="auto"/>
              <w:rPr>
                <w:sz w:val="22"/>
                <w:szCs w:val="22"/>
              </w:rPr>
            </w:pPr>
          </w:p>
        </w:tc>
      </w:tr>
      <w:tr w:rsidR="00F47C30" w14:paraId="3739C10F" w14:textId="77777777" w:rsidTr="00F47C30">
        <w:tc>
          <w:tcPr>
            <w:tcW w:w="4508" w:type="dxa"/>
          </w:tcPr>
          <w:p w14:paraId="1EEFBA3C" w14:textId="24910C08" w:rsidR="00F47C30" w:rsidRPr="00F47C30" w:rsidRDefault="009236D8" w:rsidP="001D310E">
            <w:pPr>
              <w:spacing w:line="276" w:lineRule="auto"/>
              <w:rPr>
                <w:sz w:val="22"/>
                <w:szCs w:val="22"/>
              </w:rPr>
            </w:pPr>
            <w:r>
              <w:rPr>
                <w:sz w:val="22"/>
                <w:szCs w:val="22"/>
              </w:rPr>
              <w:t>Challenges or anomalies between UG and PGT Boards of Examiners delivery</w:t>
            </w:r>
          </w:p>
        </w:tc>
        <w:tc>
          <w:tcPr>
            <w:tcW w:w="4508" w:type="dxa"/>
          </w:tcPr>
          <w:p w14:paraId="6DC84631" w14:textId="77777777" w:rsidR="00F47C30" w:rsidRPr="00F47C30" w:rsidRDefault="00F47C30" w:rsidP="001D310E">
            <w:pPr>
              <w:spacing w:line="276" w:lineRule="auto"/>
              <w:rPr>
                <w:sz w:val="22"/>
                <w:szCs w:val="22"/>
              </w:rPr>
            </w:pPr>
          </w:p>
        </w:tc>
      </w:tr>
      <w:tr w:rsidR="00F47C30" w14:paraId="606B9E20" w14:textId="77777777" w:rsidTr="00F47C30">
        <w:tc>
          <w:tcPr>
            <w:tcW w:w="4508" w:type="dxa"/>
          </w:tcPr>
          <w:p w14:paraId="3DB02EA5" w14:textId="54BAC368" w:rsidR="00F47C30" w:rsidRPr="00F47C30" w:rsidRDefault="009236D8" w:rsidP="001D310E">
            <w:pPr>
              <w:spacing w:line="276" w:lineRule="auto"/>
              <w:rPr>
                <w:sz w:val="22"/>
                <w:szCs w:val="22"/>
              </w:rPr>
            </w:pPr>
            <w:r>
              <w:rPr>
                <w:sz w:val="22"/>
                <w:szCs w:val="22"/>
              </w:rPr>
              <w:t xml:space="preserve">Faculty actions required to address any issues </w:t>
            </w:r>
            <w:r w:rsidR="00184355">
              <w:rPr>
                <w:sz w:val="22"/>
                <w:szCs w:val="22"/>
              </w:rPr>
              <w:t>identified in terms of Boards of Examiners outputs</w:t>
            </w:r>
          </w:p>
        </w:tc>
        <w:tc>
          <w:tcPr>
            <w:tcW w:w="4508" w:type="dxa"/>
          </w:tcPr>
          <w:p w14:paraId="2AFA53BF" w14:textId="77777777" w:rsidR="00F47C30" w:rsidRPr="00F47C30" w:rsidRDefault="00F47C30" w:rsidP="001D310E">
            <w:pPr>
              <w:spacing w:line="276" w:lineRule="auto"/>
              <w:rPr>
                <w:sz w:val="22"/>
                <w:szCs w:val="22"/>
              </w:rPr>
            </w:pPr>
          </w:p>
        </w:tc>
      </w:tr>
      <w:tr w:rsidR="009236D8" w14:paraId="3B06D854" w14:textId="77777777" w:rsidTr="00F47C30">
        <w:tc>
          <w:tcPr>
            <w:tcW w:w="4508" w:type="dxa"/>
          </w:tcPr>
          <w:p w14:paraId="06C7C43D" w14:textId="1E46BBA0" w:rsidR="009236D8" w:rsidRPr="00F47C30" w:rsidRDefault="00184355" w:rsidP="001D310E">
            <w:pPr>
              <w:spacing w:line="276" w:lineRule="auto"/>
              <w:rPr>
                <w:sz w:val="22"/>
                <w:szCs w:val="22"/>
              </w:rPr>
            </w:pPr>
            <w:r>
              <w:rPr>
                <w:sz w:val="22"/>
                <w:szCs w:val="22"/>
              </w:rPr>
              <w:t>Faculty actions required to address any inconsistency of approach or application of policy</w:t>
            </w:r>
          </w:p>
        </w:tc>
        <w:tc>
          <w:tcPr>
            <w:tcW w:w="4508" w:type="dxa"/>
          </w:tcPr>
          <w:p w14:paraId="38C00EDC" w14:textId="77777777" w:rsidR="009236D8" w:rsidRPr="00F47C30" w:rsidRDefault="009236D8" w:rsidP="001D310E">
            <w:pPr>
              <w:spacing w:line="276" w:lineRule="auto"/>
              <w:rPr>
                <w:sz w:val="22"/>
                <w:szCs w:val="22"/>
              </w:rPr>
            </w:pPr>
          </w:p>
        </w:tc>
      </w:tr>
      <w:tr w:rsidR="009236D8" w14:paraId="475D1E04" w14:textId="77777777" w:rsidTr="00F47C30">
        <w:tc>
          <w:tcPr>
            <w:tcW w:w="4508" w:type="dxa"/>
          </w:tcPr>
          <w:p w14:paraId="1480E831" w14:textId="248C8135" w:rsidR="009236D8" w:rsidRPr="00F47C30" w:rsidRDefault="00184355" w:rsidP="001D310E">
            <w:pPr>
              <w:spacing w:line="276" w:lineRule="auto"/>
              <w:rPr>
                <w:sz w:val="22"/>
                <w:szCs w:val="22"/>
              </w:rPr>
            </w:pPr>
            <w:r>
              <w:rPr>
                <w:sz w:val="22"/>
                <w:szCs w:val="22"/>
              </w:rPr>
              <w:t>Faculty actions required to take any opportunities for enhancement</w:t>
            </w:r>
          </w:p>
        </w:tc>
        <w:tc>
          <w:tcPr>
            <w:tcW w:w="4508" w:type="dxa"/>
          </w:tcPr>
          <w:p w14:paraId="30585261" w14:textId="77777777" w:rsidR="009236D8" w:rsidRPr="00F47C30" w:rsidRDefault="009236D8" w:rsidP="001D310E">
            <w:pPr>
              <w:spacing w:line="276" w:lineRule="auto"/>
              <w:rPr>
                <w:sz w:val="22"/>
                <w:szCs w:val="22"/>
              </w:rPr>
            </w:pPr>
          </w:p>
        </w:tc>
      </w:tr>
      <w:tr w:rsidR="009236D8" w14:paraId="4B1465FF" w14:textId="77777777" w:rsidTr="00F47C30">
        <w:tc>
          <w:tcPr>
            <w:tcW w:w="4508" w:type="dxa"/>
          </w:tcPr>
          <w:p w14:paraId="645E9ADA" w14:textId="4F3073F2" w:rsidR="009236D8" w:rsidRPr="00F47C30" w:rsidRDefault="00184355" w:rsidP="001D310E">
            <w:pPr>
              <w:spacing w:line="276" w:lineRule="auto"/>
              <w:rPr>
                <w:sz w:val="22"/>
                <w:szCs w:val="22"/>
              </w:rPr>
            </w:pPr>
            <w:r>
              <w:rPr>
                <w:sz w:val="22"/>
                <w:szCs w:val="22"/>
              </w:rPr>
              <w:t>Faculty actions required to share identified best practice</w:t>
            </w:r>
          </w:p>
        </w:tc>
        <w:tc>
          <w:tcPr>
            <w:tcW w:w="4508" w:type="dxa"/>
          </w:tcPr>
          <w:p w14:paraId="1C67898B" w14:textId="77777777" w:rsidR="009236D8" w:rsidRPr="00F47C30" w:rsidRDefault="009236D8" w:rsidP="001D310E">
            <w:pPr>
              <w:spacing w:line="276" w:lineRule="auto"/>
              <w:rPr>
                <w:sz w:val="22"/>
                <w:szCs w:val="22"/>
              </w:rPr>
            </w:pPr>
          </w:p>
        </w:tc>
      </w:tr>
      <w:tr w:rsidR="00184355" w14:paraId="5368A84B" w14:textId="77777777" w:rsidTr="00F47C30">
        <w:tc>
          <w:tcPr>
            <w:tcW w:w="4508" w:type="dxa"/>
          </w:tcPr>
          <w:p w14:paraId="635D518B" w14:textId="77777777" w:rsidR="00184355" w:rsidRDefault="00184355" w:rsidP="001D310E">
            <w:pPr>
              <w:spacing w:line="276" w:lineRule="auto"/>
              <w:rPr>
                <w:sz w:val="22"/>
                <w:szCs w:val="22"/>
              </w:rPr>
            </w:pPr>
          </w:p>
        </w:tc>
        <w:tc>
          <w:tcPr>
            <w:tcW w:w="4508" w:type="dxa"/>
          </w:tcPr>
          <w:p w14:paraId="0E0E3DE1" w14:textId="77777777" w:rsidR="00184355" w:rsidRPr="00F47C30" w:rsidRDefault="00184355" w:rsidP="001D310E">
            <w:pPr>
              <w:spacing w:line="276" w:lineRule="auto"/>
              <w:rPr>
                <w:sz w:val="22"/>
                <w:szCs w:val="22"/>
              </w:rPr>
            </w:pPr>
          </w:p>
        </w:tc>
      </w:tr>
    </w:tbl>
    <w:p w14:paraId="06E533A0" w14:textId="77777777" w:rsidR="00F47C30" w:rsidRDefault="00F47C30" w:rsidP="001D310E">
      <w:pPr>
        <w:spacing w:after="0" w:line="276" w:lineRule="auto"/>
        <w:rPr>
          <w:b/>
          <w:bCs/>
        </w:rPr>
      </w:pPr>
    </w:p>
    <w:p w14:paraId="7C4AE254" w14:textId="77777777" w:rsidR="00184355" w:rsidRDefault="00184355" w:rsidP="001D310E">
      <w:pPr>
        <w:spacing w:after="0" w:line="276" w:lineRule="auto"/>
        <w:rPr>
          <w:b/>
          <w:bCs/>
        </w:rPr>
      </w:pPr>
    </w:p>
    <w:tbl>
      <w:tblPr>
        <w:tblStyle w:val="TableGrid"/>
        <w:tblW w:w="0" w:type="auto"/>
        <w:tblLook w:val="04A0" w:firstRow="1" w:lastRow="0" w:firstColumn="1" w:lastColumn="0" w:noHBand="0" w:noVBand="1"/>
      </w:tblPr>
      <w:tblGrid>
        <w:gridCol w:w="4508"/>
        <w:gridCol w:w="4508"/>
      </w:tblGrid>
      <w:tr w:rsidR="00184355" w14:paraId="0298D104" w14:textId="77777777" w:rsidTr="00461BEA">
        <w:tc>
          <w:tcPr>
            <w:tcW w:w="9016" w:type="dxa"/>
            <w:gridSpan w:val="2"/>
          </w:tcPr>
          <w:p w14:paraId="14F7D451" w14:textId="77777777" w:rsidR="00184355" w:rsidRPr="00F47C30" w:rsidRDefault="00184355" w:rsidP="00461BEA">
            <w:pPr>
              <w:rPr>
                <w:b/>
                <w:bCs/>
                <w:sz w:val="22"/>
                <w:szCs w:val="22"/>
              </w:rPr>
            </w:pPr>
            <w:r w:rsidRPr="00F47C30">
              <w:rPr>
                <w:b/>
                <w:bCs/>
                <w:sz w:val="22"/>
                <w:szCs w:val="22"/>
              </w:rPr>
              <w:t>Report Completed by:</w:t>
            </w:r>
          </w:p>
        </w:tc>
      </w:tr>
      <w:tr w:rsidR="00184355" w14:paraId="5B39B659" w14:textId="77777777" w:rsidTr="00461BEA">
        <w:tc>
          <w:tcPr>
            <w:tcW w:w="4508" w:type="dxa"/>
          </w:tcPr>
          <w:p w14:paraId="3B9732A9" w14:textId="77777777" w:rsidR="00184355" w:rsidRPr="00F47C30" w:rsidRDefault="00184355" w:rsidP="00461BEA">
            <w:pPr>
              <w:rPr>
                <w:b/>
                <w:bCs/>
                <w:sz w:val="22"/>
                <w:szCs w:val="22"/>
              </w:rPr>
            </w:pPr>
            <w:r w:rsidRPr="00F47C30">
              <w:rPr>
                <w:b/>
                <w:bCs/>
                <w:sz w:val="22"/>
                <w:szCs w:val="22"/>
              </w:rPr>
              <w:t>Name</w:t>
            </w:r>
          </w:p>
        </w:tc>
        <w:tc>
          <w:tcPr>
            <w:tcW w:w="4508" w:type="dxa"/>
          </w:tcPr>
          <w:p w14:paraId="327F5DAE" w14:textId="421C01AD" w:rsidR="00184355" w:rsidRPr="00F47C30" w:rsidRDefault="00184355" w:rsidP="00461BEA">
            <w:pPr>
              <w:rPr>
                <w:b/>
                <w:bCs/>
                <w:sz w:val="22"/>
                <w:szCs w:val="22"/>
              </w:rPr>
            </w:pPr>
          </w:p>
        </w:tc>
      </w:tr>
      <w:tr w:rsidR="00184355" w14:paraId="6A7032AA" w14:textId="77777777" w:rsidTr="00461BEA">
        <w:tc>
          <w:tcPr>
            <w:tcW w:w="4508" w:type="dxa"/>
          </w:tcPr>
          <w:p w14:paraId="501561E0" w14:textId="5AE8DCE9" w:rsidR="00184355" w:rsidRPr="00F47C30" w:rsidRDefault="00347C71" w:rsidP="00461BEA">
            <w:pPr>
              <w:rPr>
                <w:b/>
                <w:bCs/>
                <w:sz w:val="22"/>
                <w:szCs w:val="22"/>
              </w:rPr>
            </w:pPr>
            <w:r>
              <w:rPr>
                <w:b/>
                <w:bCs/>
                <w:sz w:val="22"/>
                <w:szCs w:val="22"/>
              </w:rPr>
              <w:t>Designation</w:t>
            </w:r>
          </w:p>
        </w:tc>
        <w:tc>
          <w:tcPr>
            <w:tcW w:w="4508" w:type="dxa"/>
          </w:tcPr>
          <w:p w14:paraId="5F58BDA4" w14:textId="77777777" w:rsidR="00184355" w:rsidRPr="00F47C30" w:rsidRDefault="00184355" w:rsidP="00461BEA">
            <w:pPr>
              <w:rPr>
                <w:b/>
                <w:bCs/>
                <w:sz w:val="22"/>
                <w:szCs w:val="22"/>
              </w:rPr>
            </w:pPr>
          </w:p>
        </w:tc>
      </w:tr>
      <w:tr w:rsidR="00347C71" w14:paraId="7B2420C7" w14:textId="77777777" w:rsidTr="00461BEA">
        <w:tc>
          <w:tcPr>
            <w:tcW w:w="4508" w:type="dxa"/>
          </w:tcPr>
          <w:p w14:paraId="3F946ECB" w14:textId="2EC7CD4E" w:rsidR="00347C71" w:rsidRDefault="00347C71" w:rsidP="00461BEA">
            <w:pPr>
              <w:rPr>
                <w:b/>
                <w:bCs/>
                <w:sz w:val="22"/>
                <w:szCs w:val="22"/>
              </w:rPr>
            </w:pPr>
            <w:r w:rsidRPr="00F47C30">
              <w:rPr>
                <w:b/>
                <w:bCs/>
                <w:sz w:val="22"/>
                <w:szCs w:val="22"/>
              </w:rPr>
              <w:t>Date of Completion</w:t>
            </w:r>
          </w:p>
        </w:tc>
        <w:tc>
          <w:tcPr>
            <w:tcW w:w="4508" w:type="dxa"/>
          </w:tcPr>
          <w:p w14:paraId="3C6B4ADF" w14:textId="77777777" w:rsidR="00347C71" w:rsidRPr="00F47C30" w:rsidRDefault="00347C71" w:rsidP="00461BEA">
            <w:pPr>
              <w:rPr>
                <w:b/>
                <w:bCs/>
                <w:sz w:val="22"/>
                <w:szCs w:val="22"/>
              </w:rPr>
            </w:pPr>
          </w:p>
        </w:tc>
      </w:tr>
    </w:tbl>
    <w:p w14:paraId="3EB08555" w14:textId="77777777" w:rsidR="00184355" w:rsidRPr="00F47C30" w:rsidRDefault="00184355" w:rsidP="001D310E">
      <w:pPr>
        <w:spacing w:after="0" w:line="276" w:lineRule="auto"/>
        <w:rPr>
          <w:b/>
          <w:bCs/>
        </w:rPr>
      </w:pPr>
    </w:p>
    <w:sectPr w:rsidR="00184355" w:rsidRPr="00F47C30" w:rsidSect="001D310E">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7915" w14:textId="77777777" w:rsidR="00D477AC" w:rsidRDefault="00D477AC" w:rsidP="00F47C30">
      <w:pPr>
        <w:spacing w:after="0" w:line="240" w:lineRule="auto"/>
      </w:pPr>
      <w:r>
        <w:separator/>
      </w:r>
    </w:p>
  </w:endnote>
  <w:endnote w:type="continuationSeparator" w:id="0">
    <w:p w14:paraId="385DE879" w14:textId="77777777" w:rsidR="00D477AC" w:rsidRDefault="00D477AC" w:rsidP="00F4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270574"/>
      <w:docPartObj>
        <w:docPartGallery w:val="Page Numbers (Bottom of Page)"/>
        <w:docPartUnique/>
      </w:docPartObj>
    </w:sdtPr>
    <w:sdtContent>
      <w:sdt>
        <w:sdtPr>
          <w:id w:val="-1769616900"/>
          <w:docPartObj>
            <w:docPartGallery w:val="Page Numbers (Top of Page)"/>
            <w:docPartUnique/>
          </w:docPartObj>
        </w:sdtPr>
        <w:sdtContent>
          <w:p w14:paraId="34800E61" w14:textId="602E09D7" w:rsidR="00F47C30" w:rsidRDefault="00F47C3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50C5ADC" w14:textId="29EA6656" w:rsidR="00F47C30" w:rsidRPr="00F62E9C" w:rsidRDefault="00A408A0">
    <w:pPr>
      <w:pStyle w:val="Footer"/>
      <w:rPr>
        <w:b/>
        <w:bCs/>
        <w:color w:val="006938"/>
        <w:sz w:val="22"/>
        <w:szCs w:val="22"/>
      </w:rPr>
    </w:pPr>
    <w:r w:rsidRPr="00F62E9C">
      <w:rPr>
        <w:b/>
        <w:bCs/>
        <w:color w:val="006938"/>
        <w:sz w:val="22"/>
        <w:szCs w:val="22"/>
      </w:rPr>
      <w:t>AR 004i</w:t>
    </w:r>
    <w:r w:rsidR="00F62E9C" w:rsidRPr="00F62E9C">
      <w:rPr>
        <w:b/>
        <w:bCs/>
        <w:color w:val="006938"/>
        <w:sz w:val="22"/>
        <w:szCs w:val="22"/>
      </w:rPr>
      <w:t>: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3F0F" w14:textId="77777777" w:rsidR="00D477AC" w:rsidRDefault="00D477AC" w:rsidP="00F47C30">
      <w:pPr>
        <w:spacing w:after="0" w:line="240" w:lineRule="auto"/>
      </w:pPr>
      <w:r>
        <w:separator/>
      </w:r>
    </w:p>
  </w:footnote>
  <w:footnote w:type="continuationSeparator" w:id="0">
    <w:p w14:paraId="4594A01F" w14:textId="77777777" w:rsidR="00D477AC" w:rsidRDefault="00D477AC" w:rsidP="00F47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F36"/>
    <w:multiLevelType w:val="hybridMultilevel"/>
    <w:tmpl w:val="1B90B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8C10AE"/>
    <w:multiLevelType w:val="hybridMultilevel"/>
    <w:tmpl w:val="A5683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697B7F"/>
    <w:multiLevelType w:val="hybridMultilevel"/>
    <w:tmpl w:val="219CD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111B74"/>
    <w:multiLevelType w:val="hybridMultilevel"/>
    <w:tmpl w:val="E594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055B"/>
    <w:multiLevelType w:val="hybridMultilevel"/>
    <w:tmpl w:val="3E800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718386">
    <w:abstractNumId w:val="2"/>
  </w:num>
  <w:num w:numId="2" w16cid:durableId="470709120">
    <w:abstractNumId w:val="4"/>
  </w:num>
  <w:num w:numId="3" w16cid:durableId="57630023">
    <w:abstractNumId w:val="1"/>
  </w:num>
  <w:num w:numId="4" w16cid:durableId="735399691">
    <w:abstractNumId w:val="0"/>
  </w:num>
  <w:num w:numId="5" w16cid:durableId="18409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0E"/>
    <w:rsid w:val="00000F4B"/>
    <w:rsid w:val="00001310"/>
    <w:rsid w:val="000304C9"/>
    <w:rsid w:val="000C77E4"/>
    <w:rsid w:val="00123CF3"/>
    <w:rsid w:val="00184355"/>
    <w:rsid w:val="001D310E"/>
    <w:rsid w:val="001D3E1A"/>
    <w:rsid w:val="00221F21"/>
    <w:rsid w:val="002903BF"/>
    <w:rsid w:val="00347C71"/>
    <w:rsid w:val="003D0DA6"/>
    <w:rsid w:val="00471E2A"/>
    <w:rsid w:val="004C380B"/>
    <w:rsid w:val="0054398E"/>
    <w:rsid w:val="005D5B71"/>
    <w:rsid w:val="00671D56"/>
    <w:rsid w:val="00780A42"/>
    <w:rsid w:val="008A18C6"/>
    <w:rsid w:val="009236D8"/>
    <w:rsid w:val="009E311C"/>
    <w:rsid w:val="00A0280D"/>
    <w:rsid w:val="00A132F5"/>
    <w:rsid w:val="00A134ED"/>
    <w:rsid w:val="00A27577"/>
    <w:rsid w:val="00A408A0"/>
    <w:rsid w:val="00A81840"/>
    <w:rsid w:val="00B81BD3"/>
    <w:rsid w:val="00BA522A"/>
    <w:rsid w:val="00BF4AE8"/>
    <w:rsid w:val="00C65700"/>
    <w:rsid w:val="00C96806"/>
    <w:rsid w:val="00D477AC"/>
    <w:rsid w:val="00DE5F57"/>
    <w:rsid w:val="00E510E0"/>
    <w:rsid w:val="00E86223"/>
    <w:rsid w:val="00E92B9E"/>
    <w:rsid w:val="00EC761B"/>
    <w:rsid w:val="00F3612C"/>
    <w:rsid w:val="00F47C30"/>
    <w:rsid w:val="00F6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A2F0"/>
  <w15:chartTrackingRefBased/>
  <w15:docId w15:val="{D0AD9AA2-4C46-4CA5-99DB-240B34B8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1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1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31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31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31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31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31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E311C"/>
    <w:pPr>
      <w:spacing w:before="120" w:after="120" w:line="240" w:lineRule="auto"/>
    </w:pPr>
    <w:rPr>
      <w:rFonts w:eastAsia="Times New Roman" w:cs="Times New Roman"/>
      <w:b/>
      <w:caps/>
      <w:kern w:val="0"/>
      <w:sz w:val="22"/>
      <w:szCs w:val="20"/>
      <w:lang w:eastAsia="en-GB"/>
      <w14:ligatures w14:val="none"/>
    </w:rPr>
  </w:style>
  <w:style w:type="character" w:customStyle="1" w:styleId="Heading1Char">
    <w:name w:val="Heading 1 Char"/>
    <w:basedOn w:val="DefaultParagraphFont"/>
    <w:link w:val="Heading1"/>
    <w:uiPriority w:val="9"/>
    <w:rsid w:val="001D3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1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1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31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31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31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31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31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3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1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1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310E"/>
    <w:pPr>
      <w:spacing w:before="160"/>
      <w:jc w:val="center"/>
    </w:pPr>
    <w:rPr>
      <w:i/>
      <w:iCs/>
      <w:color w:val="404040" w:themeColor="text1" w:themeTint="BF"/>
    </w:rPr>
  </w:style>
  <w:style w:type="character" w:customStyle="1" w:styleId="QuoteChar">
    <w:name w:val="Quote Char"/>
    <w:basedOn w:val="DefaultParagraphFont"/>
    <w:link w:val="Quote"/>
    <w:uiPriority w:val="29"/>
    <w:rsid w:val="001D310E"/>
    <w:rPr>
      <w:i/>
      <w:iCs/>
      <w:color w:val="404040" w:themeColor="text1" w:themeTint="BF"/>
    </w:rPr>
  </w:style>
  <w:style w:type="paragraph" w:styleId="ListParagraph">
    <w:name w:val="List Paragraph"/>
    <w:basedOn w:val="Normal"/>
    <w:uiPriority w:val="34"/>
    <w:qFormat/>
    <w:rsid w:val="001D310E"/>
    <w:pPr>
      <w:ind w:left="720"/>
      <w:contextualSpacing/>
    </w:pPr>
  </w:style>
  <w:style w:type="character" w:styleId="IntenseEmphasis">
    <w:name w:val="Intense Emphasis"/>
    <w:basedOn w:val="DefaultParagraphFont"/>
    <w:uiPriority w:val="21"/>
    <w:qFormat/>
    <w:rsid w:val="001D310E"/>
    <w:rPr>
      <w:i/>
      <w:iCs/>
      <w:color w:val="0F4761" w:themeColor="accent1" w:themeShade="BF"/>
    </w:rPr>
  </w:style>
  <w:style w:type="paragraph" w:styleId="IntenseQuote">
    <w:name w:val="Intense Quote"/>
    <w:basedOn w:val="Normal"/>
    <w:next w:val="Normal"/>
    <w:link w:val="IntenseQuoteChar"/>
    <w:uiPriority w:val="30"/>
    <w:qFormat/>
    <w:rsid w:val="001D3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10E"/>
    <w:rPr>
      <w:i/>
      <w:iCs/>
      <w:color w:val="0F4761" w:themeColor="accent1" w:themeShade="BF"/>
    </w:rPr>
  </w:style>
  <w:style w:type="character" w:styleId="IntenseReference">
    <w:name w:val="Intense Reference"/>
    <w:basedOn w:val="DefaultParagraphFont"/>
    <w:uiPriority w:val="32"/>
    <w:qFormat/>
    <w:rsid w:val="001D310E"/>
    <w:rPr>
      <w:b/>
      <w:bCs/>
      <w:smallCaps/>
      <w:color w:val="0F4761" w:themeColor="accent1" w:themeShade="BF"/>
      <w:spacing w:val="5"/>
    </w:rPr>
  </w:style>
  <w:style w:type="character" w:styleId="Hyperlink">
    <w:name w:val="Hyperlink"/>
    <w:basedOn w:val="DefaultParagraphFont"/>
    <w:uiPriority w:val="99"/>
    <w:unhideWhenUsed/>
    <w:rsid w:val="001D310E"/>
    <w:rPr>
      <w:color w:val="467886" w:themeColor="hyperlink"/>
      <w:u w:val="single"/>
    </w:rPr>
  </w:style>
  <w:style w:type="character" w:styleId="UnresolvedMention">
    <w:name w:val="Unresolved Mention"/>
    <w:basedOn w:val="DefaultParagraphFont"/>
    <w:uiPriority w:val="99"/>
    <w:semiHidden/>
    <w:unhideWhenUsed/>
    <w:rsid w:val="001D310E"/>
    <w:rPr>
      <w:color w:val="605E5C"/>
      <w:shd w:val="clear" w:color="auto" w:fill="E1DFDD"/>
    </w:rPr>
  </w:style>
  <w:style w:type="table" w:styleId="TableGrid">
    <w:name w:val="Table Grid"/>
    <w:basedOn w:val="TableNormal"/>
    <w:uiPriority w:val="39"/>
    <w:rsid w:val="001D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C30"/>
  </w:style>
  <w:style w:type="paragraph" w:styleId="Footer">
    <w:name w:val="footer"/>
    <w:basedOn w:val="Normal"/>
    <w:link w:val="FooterChar"/>
    <w:uiPriority w:val="99"/>
    <w:unhideWhenUsed/>
    <w:rsid w:val="00F47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C30"/>
  </w:style>
  <w:style w:type="character" w:styleId="CommentReference">
    <w:name w:val="annotation reference"/>
    <w:basedOn w:val="DefaultParagraphFont"/>
    <w:uiPriority w:val="99"/>
    <w:semiHidden/>
    <w:unhideWhenUsed/>
    <w:rsid w:val="00E510E0"/>
    <w:rPr>
      <w:sz w:val="16"/>
      <w:szCs w:val="16"/>
    </w:rPr>
  </w:style>
  <w:style w:type="paragraph" w:styleId="CommentText">
    <w:name w:val="annotation text"/>
    <w:basedOn w:val="Normal"/>
    <w:link w:val="CommentTextChar"/>
    <w:uiPriority w:val="99"/>
    <w:unhideWhenUsed/>
    <w:rsid w:val="00E510E0"/>
    <w:pPr>
      <w:spacing w:line="240" w:lineRule="auto"/>
    </w:pPr>
    <w:rPr>
      <w:sz w:val="20"/>
      <w:szCs w:val="20"/>
    </w:rPr>
  </w:style>
  <w:style w:type="character" w:customStyle="1" w:styleId="CommentTextChar">
    <w:name w:val="Comment Text Char"/>
    <w:basedOn w:val="DefaultParagraphFont"/>
    <w:link w:val="CommentText"/>
    <w:uiPriority w:val="99"/>
    <w:rsid w:val="00E510E0"/>
    <w:rPr>
      <w:sz w:val="20"/>
      <w:szCs w:val="20"/>
    </w:rPr>
  </w:style>
  <w:style w:type="paragraph" w:styleId="CommentSubject">
    <w:name w:val="annotation subject"/>
    <w:basedOn w:val="CommentText"/>
    <w:next w:val="CommentText"/>
    <w:link w:val="CommentSubjectChar"/>
    <w:uiPriority w:val="99"/>
    <w:semiHidden/>
    <w:unhideWhenUsed/>
    <w:rsid w:val="00E510E0"/>
    <w:rPr>
      <w:b/>
      <w:bCs/>
    </w:rPr>
  </w:style>
  <w:style w:type="character" w:customStyle="1" w:styleId="CommentSubjectChar">
    <w:name w:val="Comment Subject Char"/>
    <w:basedOn w:val="CommentTextChar"/>
    <w:link w:val="CommentSubject"/>
    <w:uiPriority w:val="99"/>
    <w:semiHidden/>
    <w:rsid w:val="00E510E0"/>
    <w:rPr>
      <w:b/>
      <w:bCs/>
      <w:sz w:val="20"/>
      <w:szCs w:val="20"/>
    </w:rPr>
  </w:style>
  <w:style w:type="paragraph" w:styleId="Revision">
    <w:name w:val="Revision"/>
    <w:hidden/>
    <w:uiPriority w:val="99"/>
    <w:semiHidden/>
    <w:rsid w:val="00E5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tir.ac.uk/media/stirling/services/academic-registry/documents/boards-of-examiners-policy.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2B1D1-BA15-430A-A073-CCD508829A22}">
  <ds:schemaRefs>
    <ds:schemaRef ds:uri="http://schemas.microsoft.com/sharepoint/v3/contenttype/forms"/>
  </ds:schemaRefs>
</ds:datastoreItem>
</file>

<file path=customXml/itemProps2.xml><?xml version="1.0" encoding="utf-8"?>
<ds:datastoreItem xmlns:ds="http://schemas.openxmlformats.org/officeDocument/2006/customXml" ds:itemID="{5892CD2E-774F-4CC6-BA49-CD7299E99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B9731-3A81-43E4-87BA-B77B364D2CC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dc:description/>
  <cp:lastModifiedBy>Jessica Murray</cp:lastModifiedBy>
  <cp:revision>3</cp:revision>
  <dcterms:created xsi:type="dcterms:W3CDTF">2026-06-23T11:56:00Z</dcterms:created>
  <dcterms:modified xsi:type="dcterms:W3CDTF">2026-06-23T15:00:00Z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